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926" w:rsidRPr="008F04C3" w:rsidRDefault="008F04C3" w:rsidP="00514984">
      <w:pPr>
        <w:rPr>
          <w:b/>
          <w:sz w:val="28"/>
          <w:szCs w:val="28"/>
        </w:rPr>
      </w:pPr>
      <w:r w:rsidRPr="008F04C3">
        <w:rPr>
          <w:b/>
          <w:sz w:val="28"/>
          <w:szCs w:val="28"/>
        </w:rPr>
        <w:t>Nr. 121</w:t>
      </w:r>
    </w:p>
    <w:p w:rsidR="005F54F7" w:rsidRPr="00F065C6" w:rsidRDefault="003B6BBA" w:rsidP="00483BFC">
      <w:pPr>
        <w:rPr>
          <w:sz w:val="26"/>
          <w:szCs w:val="26"/>
        </w:rPr>
      </w:pPr>
      <w:r>
        <w:rPr>
          <w:sz w:val="26"/>
          <w:szCs w:val="26"/>
        </w:rPr>
        <w:t>Benutzungsgebühren (hier: Straßenentwässerung)</w:t>
      </w:r>
    </w:p>
    <w:p w:rsidR="005F54F7" w:rsidRPr="00F065C6" w:rsidRDefault="005F54F7" w:rsidP="00483BFC">
      <w:pPr>
        <w:rPr>
          <w:sz w:val="10"/>
          <w:szCs w:val="10"/>
        </w:rPr>
      </w:pPr>
    </w:p>
    <w:p w:rsidR="005F54F7" w:rsidRPr="00F065C6" w:rsidRDefault="00F065C6" w:rsidP="00483BFC">
      <w:pPr>
        <w:rPr>
          <w:b/>
        </w:rPr>
      </w:pPr>
      <w:r>
        <w:rPr>
          <w:b/>
        </w:rPr>
        <w:t xml:space="preserve">VG Magdeburg, </w:t>
      </w:r>
      <w:bookmarkStart w:id="0" w:name="_GoBack"/>
      <w:r>
        <w:rPr>
          <w:b/>
        </w:rPr>
        <w:t xml:space="preserve">Urteil vom </w:t>
      </w:r>
      <w:r w:rsidR="003B6BBA">
        <w:rPr>
          <w:b/>
        </w:rPr>
        <w:t>11.12.2018 - Az.: 9 A 636/16 MD</w:t>
      </w:r>
      <w:r w:rsidR="00060AF5">
        <w:rPr>
          <w:b/>
        </w:rPr>
        <w:t xml:space="preserve"> </w:t>
      </w:r>
      <w:bookmarkEnd w:id="0"/>
    </w:p>
    <w:p w:rsidR="005F54F7" w:rsidRDefault="005F54F7" w:rsidP="00483BFC"/>
    <w:p w:rsidR="00112166" w:rsidRDefault="00112166" w:rsidP="00483BFC">
      <w:r>
        <w:t>[…]</w:t>
      </w:r>
    </w:p>
    <w:p w:rsidR="00112166" w:rsidRDefault="00112166" w:rsidP="00483BFC"/>
    <w:p w:rsidR="00F065C6" w:rsidRPr="00112166" w:rsidRDefault="00112166" w:rsidP="00483BFC">
      <w:pPr>
        <w:rPr>
          <w:u w:val="single"/>
        </w:rPr>
      </w:pPr>
      <w:r w:rsidRPr="00112166">
        <w:rPr>
          <w:u w:val="single"/>
        </w:rPr>
        <w:t>Tatbestand:</w:t>
      </w:r>
    </w:p>
    <w:p w:rsidR="00F065C6" w:rsidRDefault="00F065C6" w:rsidP="00483BFC"/>
    <w:p w:rsidR="00112166" w:rsidRDefault="00112166" w:rsidP="00112166">
      <w:r w:rsidRPr="00112166">
        <w:t>Die Beteiligten streiten um die Rechtmäßigkeit von B</w:t>
      </w:r>
      <w:r w:rsidR="00B96B8B">
        <w:t>escheiden, mit denen der Beklag</w:t>
      </w:r>
      <w:r w:rsidRPr="00112166">
        <w:t>te Niederschlagswassergebühren für Bundesstraßen erhebt.</w:t>
      </w:r>
    </w:p>
    <w:p w:rsidR="00112166" w:rsidRPr="00112166" w:rsidRDefault="00112166" w:rsidP="00112166"/>
    <w:p w:rsidR="00112166" w:rsidRDefault="00112166" w:rsidP="00112166">
      <w:r w:rsidRPr="00112166">
        <w:t>Der Beklagte hält in seinem Verbandsgebiet öffentlic</w:t>
      </w:r>
      <w:r>
        <w:t>he Anlagen zur zentralen Nieder</w:t>
      </w:r>
      <w:r w:rsidRPr="00112166">
        <w:t>schlagswasserbeseitigung vor, die er sowohl im Mi</w:t>
      </w:r>
      <w:r>
        <w:t>sch- als auch im Trennsystem be</w:t>
      </w:r>
      <w:r w:rsidRPr="00112166">
        <w:t>treibt. An diese sind neben den (privaten) Grundstücken auch öffentliche Gemeinde-, Kreis-, Land- und Bundesstraßen angeschlossen. Der Kläger nimmt im Rahmen der Bundesauftragsverwaltung nach Art. 90 Abs. 2 GG die Aufgaben eines Trägers der Straßenbaulast für Bundesstraßen wahr.</w:t>
      </w:r>
    </w:p>
    <w:p w:rsidR="00BD3E7A" w:rsidRPr="00112166" w:rsidRDefault="00BD3E7A" w:rsidP="00112166"/>
    <w:p w:rsidR="00B57A01" w:rsidRDefault="00112166" w:rsidP="00060AF5">
      <w:r w:rsidRPr="00112166">
        <w:t>Mit hier streitigen und an die Landesstraßenbaubehörde Sachsen-Anhalt, Magdeburg, gerichteten Bescheiden vom 16.06.2016 setzte der</w:t>
      </w:r>
      <w:r w:rsidR="00BD3E7A">
        <w:t xml:space="preserve"> Beklagte Niederschlagswasserge</w:t>
      </w:r>
      <w:r w:rsidRPr="00112166">
        <w:t xml:space="preserve">bühren für die Jahre 2014 bis 2016 </w:t>
      </w:r>
      <w:r w:rsidR="006B4517">
        <w:t>[</w:t>
      </w:r>
      <w:r w:rsidR="00060AF5">
        <w:t>…</w:t>
      </w:r>
      <w:r w:rsidR="006B4517">
        <w:t>]</w:t>
      </w:r>
      <w:r w:rsidR="00B57A01">
        <w:t xml:space="preserve"> fest.</w:t>
      </w:r>
    </w:p>
    <w:p w:rsidR="00B57A01" w:rsidRDefault="00B57A01" w:rsidP="00104F59">
      <w:pPr>
        <w:tabs>
          <w:tab w:val="left" w:pos="1134"/>
        </w:tabs>
      </w:pPr>
    </w:p>
    <w:p w:rsidR="00F065C6" w:rsidRDefault="00112166" w:rsidP="00104F59">
      <w:pPr>
        <w:tabs>
          <w:tab w:val="left" w:pos="1134"/>
        </w:tabs>
      </w:pPr>
      <w:r w:rsidRPr="00112166">
        <w:t xml:space="preserve">Dagegen legte der Kläger jeweils mit Schreiben vom 27.06.2016 </w:t>
      </w:r>
      <w:r w:rsidR="00B57A01">
        <w:t>Wider</w:t>
      </w:r>
      <w:r w:rsidRPr="00112166">
        <w:t>spruch ein. Diesen wies der Beklagte jeweils mit Widerspruchsbescheid vom 05.09.2016, zugestellt jeweils am 07.09.2016, als unbegründet zurück.</w:t>
      </w:r>
    </w:p>
    <w:p w:rsidR="00F065C6" w:rsidRDefault="00F065C6" w:rsidP="00483BFC"/>
    <w:p w:rsidR="00CD28D2" w:rsidRDefault="00B57A01" w:rsidP="00483BFC">
      <w:r>
        <w:t>[…]</w:t>
      </w:r>
    </w:p>
    <w:p w:rsidR="00B57A01" w:rsidRDefault="00B57A01" w:rsidP="00483BFC"/>
    <w:p w:rsidR="00B57A01" w:rsidRPr="00B57A01" w:rsidRDefault="00B57A01" w:rsidP="00483BFC">
      <w:pPr>
        <w:rPr>
          <w:u w:val="single"/>
        </w:rPr>
      </w:pPr>
      <w:r w:rsidRPr="00B57A01">
        <w:rPr>
          <w:u w:val="single"/>
        </w:rPr>
        <w:t>Entscheidungsgründe:</w:t>
      </w:r>
    </w:p>
    <w:p w:rsidR="00B57A01" w:rsidRDefault="00B57A01" w:rsidP="00483BFC"/>
    <w:p w:rsidR="00B57A01" w:rsidRDefault="00B57A01" w:rsidP="00483BFC">
      <w:r>
        <w:t>[…]</w:t>
      </w:r>
    </w:p>
    <w:p w:rsidR="00B57A01" w:rsidRDefault="00B57A01" w:rsidP="00483BFC"/>
    <w:p w:rsidR="005E1426" w:rsidRDefault="005E1426" w:rsidP="005E1426">
      <w:r w:rsidRPr="005E1426">
        <w:t xml:space="preserve">2. Dagegen begegnen die den Erhebungszeitraum </w:t>
      </w:r>
      <w:r w:rsidR="00B96B8B">
        <w:t>2016 betreffenden Bescheide kei</w:t>
      </w:r>
      <w:r w:rsidRPr="005E1426">
        <w:t>nen rechtlichen Bedenken.</w:t>
      </w:r>
    </w:p>
    <w:p w:rsidR="005E1426" w:rsidRPr="005E1426" w:rsidRDefault="005E1426" w:rsidP="005E1426"/>
    <w:p w:rsidR="005E1426" w:rsidRDefault="005E1426" w:rsidP="005E1426">
      <w:r>
        <w:t xml:space="preserve">a) </w:t>
      </w:r>
      <w:r w:rsidRPr="005E1426">
        <w:t>Die grundsätzliche Berechtigung zur Erhebung von Benutzungsgebühren für die Inanspruchnahme einer öffentlichen Einrichtung zur Niederschlagswasserbeseitigung durch einen Träger der Straßenbaulast außerhalb des Geltungsbereichs von § 23 Abs.5 StrG LSA ist in der Rechtsprechung für das Land Sachsen-Anhalt obergerichtlich geklärt (vgl. OVG LSA, B. v. 24.06.2015 sowie U. v. 08</w:t>
      </w:r>
      <w:r>
        <w:t>.10.2015, jeweils a. a. 0.). Da</w:t>
      </w:r>
      <w:r w:rsidRPr="005E1426">
        <w:t>nach bestehen auch hier keine Bedenken gegen d</w:t>
      </w:r>
      <w:r>
        <w:t>ie Erhebung von Benutzungsgebüh</w:t>
      </w:r>
      <w:r w:rsidRPr="005E1426">
        <w:t>ren, weil es sich bei den veranlag</w:t>
      </w:r>
      <w:r w:rsidR="006B4517">
        <w:t>t</w:t>
      </w:r>
      <w:r w:rsidRPr="005E1426">
        <w:t xml:space="preserve">en Bundesstraßen </w:t>
      </w:r>
      <w:r>
        <w:t>um solche handelt, die vom Stra</w:t>
      </w:r>
      <w:r w:rsidRPr="005E1426">
        <w:t>ßengesetz des Landes Sachsen-Anhalt gar nicht erfasst werden.</w:t>
      </w:r>
    </w:p>
    <w:p w:rsidR="005E1426" w:rsidRDefault="005E1426" w:rsidP="005E1426"/>
    <w:p w:rsidR="005E1426" w:rsidRDefault="005E1426" w:rsidP="005E1426">
      <w:r>
        <w:t xml:space="preserve">b) </w:t>
      </w:r>
      <w:r w:rsidRPr="005E1426">
        <w:t>Die Gebührenerhebung lässt sich ohne Rechtsmängel auf die GS 2016 stützen (</w:t>
      </w:r>
      <w:proofErr w:type="spellStart"/>
      <w:r w:rsidRPr="005E1426">
        <w:t>aa</w:t>
      </w:r>
      <w:proofErr w:type="spellEnd"/>
      <w:r w:rsidRPr="005E1426">
        <w:t>). Auch darüber hinaus begegnen die den Erhebun</w:t>
      </w:r>
      <w:r w:rsidR="005F0947">
        <w:t>gszeitraum 2016 betreffenden Be</w:t>
      </w:r>
      <w:r w:rsidRPr="005E1426">
        <w:t>scheide keinen rechtlichen Bedenken (</w:t>
      </w:r>
      <w:proofErr w:type="spellStart"/>
      <w:r w:rsidRPr="005E1426">
        <w:t>bb</w:t>
      </w:r>
      <w:proofErr w:type="spellEnd"/>
      <w:r w:rsidRPr="005E1426">
        <w:t>). Der Gebührenerhebung stehen vorliegend auch keine anderen Gründe entgegen (cc).</w:t>
      </w:r>
    </w:p>
    <w:p w:rsidR="006B4517" w:rsidRPr="005E1426" w:rsidRDefault="006B4517" w:rsidP="005E1426"/>
    <w:p w:rsidR="005E1426" w:rsidRDefault="005E1426" w:rsidP="005E1426">
      <w:proofErr w:type="spellStart"/>
      <w:r w:rsidRPr="005E1426">
        <w:t>aa</w:t>
      </w:r>
      <w:proofErr w:type="spellEnd"/>
      <w:r w:rsidRPr="005E1426">
        <w:t>) Können nach §§ 2 Abs. 1 Satz 1, 1 Abs. 3 KAG LSA Gebühren nach § 5 KAG LSA nur auf der Grundlage einer wirksamen Satzung erhoben werden, erstreckt sich die insoweit gebotene gerichtliche Kontrolle auf die grundsätzliche Geeignetheit der als Rechtsgrundlage in Betracht kommenden Satzung. Die Verpflichtung des Gerichts zur Feststellung und Auslegung des anwendbaren Rechts ergibt sich a</w:t>
      </w:r>
      <w:r w:rsidR="005F0947">
        <w:t>us dem Rechts</w:t>
      </w:r>
      <w:r w:rsidRPr="005E1426">
        <w:t>staatsprinzip sowie insbesondere aus der Bindung des Gerichts an Gesetz und Recht gemäß Artikel 20 Abs</w:t>
      </w:r>
      <w:r w:rsidR="00B96B8B">
        <w:t xml:space="preserve">. 3 GG (vgl. Kopp/ Schenke, </w:t>
      </w:r>
      <w:proofErr w:type="spellStart"/>
      <w:r w:rsidR="00B96B8B">
        <w:t>VwG</w:t>
      </w:r>
      <w:proofErr w:type="spellEnd"/>
      <w:r w:rsidRPr="005E1426">
        <w:t xml:space="preserve">, Kommentar, 17. Aufl., § 86 </w:t>
      </w:r>
      <w:proofErr w:type="spellStart"/>
      <w:r w:rsidRPr="005E1426">
        <w:t>Rn</w:t>
      </w:r>
      <w:proofErr w:type="spellEnd"/>
      <w:r w:rsidRPr="005E1426">
        <w:t xml:space="preserve">. </w:t>
      </w:r>
      <w:r w:rsidRPr="005E1426">
        <w:lastRenderedPageBreak/>
        <w:t xml:space="preserve">1 a). Gegenstand einer </w:t>
      </w:r>
      <w:proofErr w:type="spellStart"/>
      <w:r w:rsidRPr="005E1426">
        <w:t>insoweitigen</w:t>
      </w:r>
      <w:proofErr w:type="spellEnd"/>
      <w:r w:rsidRPr="005E1426">
        <w:t xml:space="preserve"> Prüfung durch das Gericht ist deshalb j</w:t>
      </w:r>
      <w:r w:rsidR="005F0947">
        <w:t>eden</w:t>
      </w:r>
      <w:r w:rsidRPr="005E1426">
        <w:t>falls, ob die maßgebliche Satzung bekannt gemacht wurde und den Anforderungen des § 2 Abs. 1 Satz 2 KAG LSA genügt. Dagegen bestehen weder Bedenken von Seiten des Gerichts noch sind solche substantiiert durch den Kläger geltend gemacht worden.</w:t>
      </w:r>
      <w:r w:rsidR="005F0947">
        <w:t xml:space="preserve"> </w:t>
      </w:r>
      <w:r w:rsidRPr="005E1426">
        <w:t xml:space="preserve">Die GS </w:t>
      </w:r>
      <w:r w:rsidR="005F0947">
        <w:t>2016 ist im Amtsblatt des</w:t>
      </w:r>
      <w:r w:rsidRPr="005E1426">
        <w:t xml:space="preserve"> am 10.12.2015 bzw. 31.03.2016 in ausgefertigter Form veröffentlicht worden (vgl. dazu § 19 Abs. 1 der Verbandssatzung vom 26.06.2013) und regelt, wie von § 2 Abs. 1 Satz 2 KAG LSA gefordert, in hinreichender Weise den Kreis der Gebührenschuldner, den die</w:t>
      </w:r>
      <w:r w:rsidR="005F0947">
        <w:t xml:space="preserve"> </w:t>
      </w:r>
      <w:r w:rsidRPr="005E1426">
        <w:t>Gebühr begründenden Tatbestand, den Niederschlagswassergebührenmaßstab, die Gebührensätze sowie die Entstehung und den Zeitpunkt der Fälligkeit der Gebühr.</w:t>
      </w:r>
    </w:p>
    <w:p w:rsidR="005F0947" w:rsidRPr="005E1426" w:rsidRDefault="005F0947" w:rsidP="005E1426"/>
    <w:p w:rsidR="005E1426" w:rsidRDefault="005E1426" w:rsidP="005E1426">
      <w:r w:rsidRPr="005E1426">
        <w:t>Mit § 1 Abs. 1 Satz 2 seiner zum 01.01.2016 in Kraft g</w:t>
      </w:r>
      <w:r w:rsidR="005F0947">
        <w:t>etretenen Abwasserbeseiti</w:t>
      </w:r>
      <w:r w:rsidRPr="005E1426">
        <w:t>gungssatzung vom 09.12.2015 (ABS 2015) hat der Beklagte nunmehr die von ihm im Trenn- und Mischsystem betriebenen öffentlichen Ein</w:t>
      </w:r>
      <w:r w:rsidR="005F0947">
        <w:t>richtungen zur zentralen Nieder</w:t>
      </w:r>
      <w:r w:rsidRPr="005E1426">
        <w:t>schlagswasserbeseitigung hinreichend auch für die Aufnahme von Straß</w:t>
      </w:r>
      <w:r w:rsidR="005F0947">
        <w:t>enoberflä</w:t>
      </w:r>
      <w:r w:rsidRPr="005E1426">
        <w:t>chenwasser gewidmet. Zudem hat er - wenn auch nicht durchgängig -, diese Widmung bei weiteren Satzungsbestimmungen berücksichtigt;</w:t>
      </w:r>
      <w:r w:rsidR="005F0947">
        <w:t xml:space="preserve"> insbesondere hat er auf den Um</w:t>
      </w:r>
      <w:r w:rsidRPr="005E1426">
        <w:t>stand, dass es sich bei Straßen regelmäßig nicht</w:t>
      </w:r>
      <w:r w:rsidR="005F0947">
        <w:t xml:space="preserve"> um im Grundbuch buchbare Grund</w:t>
      </w:r>
      <w:r w:rsidRPr="005E1426">
        <w:t>stücke (vgl. § 3 Abs. 2 GBO) mit § 2 Abs. 3 Satz 2 ABS 2015 reagiert. Da sich die so erfolgte Widmung des Beklagten seit dem 01.01.2016 auf Bundes-, Landes-, Kreis-und Gemeindestraßen erstreckt, muss nicht mehr beurteilt werden, ob die von der Kammer im Urteil vom 11.11.2014 vertretene Auffassung zum Verstoß gegen den Grundsatz der Belastungsgleichheit (anders wohl OVG LSA, U. 08.10.2015, a. a. 0.) im Falle der ausschließlichen Heranziehung von Bundesstraßen fortentwicklungsfähig ist.</w:t>
      </w:r>
    </w:p>
    <w:p w:rsidR="005F0947" w:rsidRPr="005E1426" w:rsidRDefault="005F0947" w:rsidP="005E1426"/>
    <w:p w:rsidR="005E1426" w:rsidRDefault="005E1426" w:rsidP="005E1426">
      <w:r w:rsidRPr="005E1426">
        <w:t xml:space="preserve">Die in § 1 Abs. 1 Satz 1 </w:t>
      </w:r>
      <w:proofErr w:type="spellStart"/>
      <w:r w:rsidRPr="005E1426">
        <w:t>lit</w:t>
      </w:r>
      <w:proofErr w:type="spellEnd"/>
      <w:r w:rsidRPr="005E1426">
        <w:t xml:space="preserve">. b) </w:t>
      </w:r>
      <w:proofErr w:type="spellStart"/>
      <w:r w:rsidRPr="005E1426">
        <w:t>ba</w:t>
      </w:r>
      <w:proofErr w:type="spellEnd"/>
      <w:r w:rsidRPr="005E1426">
        <w:t xml:space="preserve">) und </w:t>
      </w:r>
      <w:proofErr w:type="spellStart"/>
      <w:r w:rsidRPr="005E1426">
        <w:t>bb</w:t>
      </w:r>
      <w:proofErr w:type="spellEnd"/>
      <w:r w:rsidRPr="005E1426">
        <w:t>) ABS 2015 d</w:t>
      </w:r>
      <w:r w:rsidR="008F7C4E">
        <w:t>efinierten öffentlichen Einrich</w:t>
      </w:r>
      <w:r w:rsidRPr="005E1426">
        <w:t>tungen zur zentralen Niederschlagswasserbeseitigung sind auch in materieller Hinsicht wirksam bestimmt. Denn dass die dazu dienenden Anl</w:t>
      </w:r>
      <w:r w:rsidR="008F7C4E">
        <w:t>agen zu diesen öffentlichen Ein</w:t>
      </w:r>
      <w:r w:rsidRPr="005E1426">
        <w:t>richtungen zusammengefasst wurden, begegne</w:t>
      </w:r>
      <w:r w:rsidR="008F7C4E">
        <w:t>t vor dem Hintergrund des im An</w:t>
      </w:r>
      <w:r w:rsidRPr="005E1426">
        <w:t>schlussbeitragsrecht geltenden aufgabenbezogene Einr</w:t>
      </w:r>
      <w:r w:rsidR="008F7C4E">
        <w:t>ichtungsbegriffs keinen rechtli</w:t>
      </w:r>
      <w:r w:rsidRPr="005E1426">
        <w:t>chen Bedenken. An der früheren, eher anlagenbezogenen Betrachtung der öffentlichen Einrichtung (vgl. insbesondere B. v. 18.07.2003 - 1 M 31</w:t>
      </w:r>
      <w:r w:rsidR="008F7C4E">
        <w:t xml:space="preserve">6/02 -, </w:t>
      </w:r>
      <w:proofErr w:type="spellStart"/>
      <w:r w:rsidR="008F7C4E">
        <w:t>unv</w:t>
      </w:r>
      <w:proofErr w:type="spellEnd"/>
      <w:r w:rsidR="008F7C4E">
        <w:t xml:space="preserve">.; U. v. 04.09.2003 </w:t>
      </w:r>
      <w:r w:rsidRPr="005E1426">
        <w:t xml:space="preserve">1 L 493/02 - sowie U. v. 12.02.2004 - 1 K 516/02 -, </w:t>
      </w:r>
      <w:r w:rsidR="008F7C4E">
        <w:t xml:space="preserve">beide </w:t>
      </w:r>
      <w:proofErr w:type="spellStart"/>
      <w:r w:rsidR="008F7C4E">
        <w:t>juris</w:t>
      </w:r>
      <w:proofErr w:type="spellEnd"/>
      <w:r w:rsidR="008F7C4E">
        <w:t>) hat das Oberverwal</w:t>
      </w:r>
      <w:r w:rsidRPr="005E1426">
        <w:t xml:space="preserve">tungsgericht des Landes Sachsen-Anhalt insoweit nicht festgehalten (vgl. OVG LSA, B. v. 28.09.2009 - 4 K 356/08 -, </w:t>
      </w:r>
      <w:proofErr w:type="spellStart"/>
      <w:r w:rsidRPr="005E1426">
        <w:t>juris</w:t>
      </w:r>
      <w:proofErr w:type="spellEnd"/>
      <w:r w:rsidRPr="005E1426">
        <w:t>).</w:t>
      </w:r>
    </w:p>
    <w:p w:rsidR="008F7C4E" w:rsidRDefault="008F7C4E" w:rsidP="005E1426"/>
    <w:p w:rsidR="005E1426" w:rsidRDefault="005E1426" w:rsidP="005E1426">
      <w:r w:rsidRPr="005E1426">
        <w:t xml:space="preserve">Mit den in § 8 Abs. 2 </w:t>
      </w:r>
      <w:proofErr w:type="spellStart"/>
      <w:r w:rsidRPr="005E1426">
        <w:t>lit</w:t>
      </w:r>
      <w:proofErr w:type="spellEnd"/>
      <w:r w:rsidRPr="005E1426">
        <w:t>. a) und b) GS 2016 enthaltenen Gebührensätzen in Höhe von 0,42 €/m</w:t>
      </w:r>
      <w:r w:rsidRPr="005E1426">
        <w:rPr>
          <w:vertAlign w:val="superscript"/>
        </w:rPr>
        <w:t>2</w:t>
      </w:r>
      <w:r w:rsidRPr="005E1426">
        <w:t xml:space="preserve"> für eine Einleitung in das Trennsystem und 0,74 €/m</w:t>
      </w:r>
      <w:r w:rsidRPr="005E1426">
        <w:rPr>
          <w:vertAlign w:val="superscript"/>
        </w:rPr>
        <w:t>2</w:t>
      </w:r>
      <w:r w:rsidRPr="005E1426">
        <w:t xml:space="preserve"> für Einleitungen in das Mischsystem ist der Beklagte auch dem Erfordernis einheitlicher Gebührensätze für private Grundstücke und Straßenfläche nachgekommen (vgl. OVG LSA, U. v. 08.10.2015, a. a. 0.). Die so mit der 1. Änderungssatzung vom 30.03.2016 fest</w:t>
      </w:r>
      <w:r w:rsidR="008F7C4E">
        <w:t>gesetz</w:t>
      </w:r>
      <w:r w:rsidRPr="005E1426">
        <w:t>ten Gebührensätze sind gültig und treten damit an di</w:t>
      </w:r>
      <w:r w:rsidR="00985B56">
        <w:t>e Stelle der in der Gebührensat</w:t>
      </w:r>
      <w:r w:rsidRPr="005E1426">
        <w:t>zung vom 09.12.2015 zunächst auf 0,50 €/m</w:t>
      </w:r>
      <w:r w:rsidRPr="005E1426">
        <w:rPr>
          <w:vertAlign w:val="superscript"/>
        </w:rPr>
        <w:t>2</w:t>
      </w:r>
      <w:r w:rsidRPr="005E1426">
        <w:t xml:space="preserve"> bzw. 0,82 €/m</w:t>
      </w:r>
      <w:r w:rsidRPr="005E1426">
        <w:rPr>
          <w:vertAlign w:val="superscript"/>
        </w:rPr>
        <w:t>2</w:t>
      </w:r>
      <w:r w:rsidR="00985B56">
        <w:t xml:space="preserve"> festgelegten Gebühren</w:t>
      </w:r>
      <w:r w:rsidRPr="005E1426">
        <w:t>sätze. Denn die 1. Änderungssatzung misst sich in § 2 Rückwirkung auf den Zeitpunkt des Inkrafttretens der Gebührensatzung zum 01.01.2016 zu. Dies ist rechtlich zulässig und führt auch für den Fall, dass die zunächst festgesetzten Gebührensätze gegen das in § 5 Abs. 1 Satz 1 KAG LSA enthaltene Kostenüberdeckungsverbot verstoßen haben sollten, was zur Nichtigkeit der Satzung führt, zur Heilung der Gebührensatzung (vgl. dazu klarstellend VG Magdeburg, U. v. 29.11.2018 - 9 A 611/16 -). Sofern der Kläger pauschal die Höhe der Gebührensätze rügt, ändert dies an deren Gültigkeit nichts. Denn ein Gericht ist auch im Lichte von § 86 Abs. 1 VwGO nicht stets von Amts wegen</w:t>
      </w:r>
      <w:r w:rsidR="00985B56">
        <w:t xml:space="preserve"> </w:t>
      </w:r>
      <w:r w:rsidRPr="005E1426">
        <w:t xml:space="preserve">zur Überprüfung eines Abgabensatzes verpflichtet ist (vgl. dazu VG Magdeburg, U. v. 26.03.2015 - 9 A 253/14 MD -; v. 05.12.2016 - 9 A 347/13 MD -; v. 14.03.2018 - 9 A 261/17 MD -). Aus diesem Grunde besteht auch </w:t>
      </w:r>
      <w:r w:rsidR="00985B56">
        <w:t>eine aus der Sachverhaltsaufklä</w:t>
      </w:r>
      <w:r w:rsidRPr="005E1426">
        <w:t>rungspflicht resultierende Pflicht zur Aktenbeiziehu</w:t>
      </w:r>
      <w:r w:rsidR="00985B56">
        <w:t>ng in Bezug auf die Höhe des Ab</w:t>
      </w:r>
      <w:r w:rsidRPr="005E1426">
        <w:t>gabensatzes erst dann, wenn das Gericht von Amts wegen Bedenken gegen einen dadurch eintretenden Verstoß gegen das Kostenüberschreitungsverbot haben muss oder aber ein Kläger dies unter Darlegung von entsprechenden Tatsachen substantiiert rügt (dazu VG Magdeburg, U. v. 26.03.2015 und v. 05.12.2016, a. a. 0.). Denn die Höhe des Gebührensatzes ist nicht gleichsam Prüfu</w:t>
      </w:r>
      <w:r w:rsidR="00985B56">
        <w:t>ngsgegenstand eines jeden gebüh</w:t>
      </w:r>
      <w:r w:rsidRPr="005E1426">
        <w:t>renrechtlichen Verfahrens; seine stets von Amts we</w:t>
      </w:r>
      <w:r w:rsidR="00985B56">
        <w:t>gen vorzunehmende Kontrolle wür</w:t>
      </w:r>
      <w:r w:rsidRPr="005E1426">
        <w:t xml:space="preserve">de zu einer nicht sachgerechten Handhabung des </w:t>
      </w:r>
      <w:r w:rsidR="00985B56">
        <w:t>Grundsatzes der Sachverhaltsauf</w:t>
      </w:r>
      <w:r w:rsidRPr="005E1426">
        <w:t>klärung führen (BVerwG, U. v. 17.04.2002 - 9 CN 1/01 -</w:t>
      </w:r>
      <w:r w:rsidR="00985B56">
        <w:t xml:space="preserve">, </w:t>
      </w:r>
      <w:proofErr w:type="spellStart"/>
      <w:r w:rsidR="00985B56">
        <w:t>juris</w:t>
      </w:r>
      <w:proofErr w:type="spellEnd"/>
      <w:r w:rsidR="00985B56">
        <w:t>). Hat der Kläger vorlie</w:t>
      </w:r>
      <w:r w:rsidRPr="005E1426">
        <w:t>gen keinerlei greifbare Anhaltspunkte gegen eine in methodischer oder kalkulatorischer Sicht fehlerhafte Ermittlung der Gebührensätze vorget</w:t>
      </w:r>
      <w:r w:rsidR="00985B56">
        <w:t>ragen, mussten sich diesbezügli</w:t>
      </w:r>
      <w:r w:rsidRPr="005E1426">
        <w:t>che Bedenken dem Gericht auch nicht gleichsam a</w:t>
      </w:r>
      <w:r w:rsidR="00985B56">
        <w:t>ufdrängen, zumal Gebühren regel</w:t>
      </w:r>
      <w:r w:rsidRPr="005E1426">
        <w:t>mäßig Schwankungen unterworfen und insbesondere durch die Aufnahme weiterer Straßen in die Gebührenpflicht mit Änderungen verbunden sein können.</w:t>
      </w:r>
    </w:p>
    <w:p w:rsidR="00985B56" w:rsidRPr="005E1426" w:rsidRDefault="00985B56" w:rsidP="005E1426"/>
    <w:p w:rsidR="005E1426" w:rsidRDefault="005E1426" w:rsidP="005E1426">
      <w:proofErr w:type="spellStart"/>
      <w:r w:rsidRPr="005E1426">
        <w:t>bb</w:t>
      </w:r>
      <w:proofErr w:type="spellEnd"/>
      <w:r w:rsidRPr="005E1426">
        <w:t xml:space="preserve">) Dass die bei der Veranlagung berücksichtigten Straßenflächen an die öffentlichen Einrichtungen des Beklagten angeschlossen sind oder in diese entwässern (vgl. §§ 5 Abs. 1 Satz 1 KAG LSA, 2 Abs. 1 GS 2016), ist zwischen den Beteiligten nicht im Streit (dazu OVG Münster, B. v. 24.07.2013 - 9 A 1290/12 -, </w:t>
      </w:r>
      <w:proofErr w:type="spellStart"/>
      <w:r w:rsidRPr="005E1426">
        <w:t>juris</w:t>
      </w:r>
      <w:proofErr w:type="spellEnd"/>
      <w:r w:rsidRPr="005E1426">
        <w:t>). Für die vom</w:t>
      </w:r>
      <w:r w:rsidR="00305F85">
        <w:t xml:space="preserve"> Einrichtungs</w:t>
      </w:r>
      <w:r w:rsidRPr="005E1426">
        <w:t>träger insoweit gebotene Leistung der schadlosen Bes</w:t>
      </w:r>
      <w:r w:rsidR="00305F85">
        <w:t>eitigung des eingeleiteten Stra</w:t>
      </w:r>
      <w:r w:rsidRPr="005E1426">
        <w:t xml:space="preserve">ßenoberflächenwassers ist der Träger der Straßenbaulast gemäß §§ 5 Abs. 5 Satz 1 KAG LSA, 9 Abs. 1 Satz 6 GS 2016 Gebührenschuldner. Rechtliche Bedenken an der insoweit vom Gericht in der mündlichen Verhandlung angesprochenen Bestimmtheit (§§ 13 Abs. 1 Ziffer 3 </w:t>
      </w:r>
      <w:proofErr w:type="spellStart"/>
      <w:r w:rsidRPr="005E1426">
        <w:t>lit</w:t>
      </w:r>
      <w:proofErr w:type="spellEnd"/>
      <w:r w:rsidRPr="005E1426">
        <w:t xml:space="preserve">. b) KAG LSA, 119 AO) der streitigen Bescheide bestehen im Ergebnis nicht. Zwar sind derartige Abgabenbescheide (inhaltlich) an den Träger der Straßenbaulast zu richten. Dem werden die hier streitigen Bescheide jedoch im Lichte von Artikel 90 Abs. 2 GG (noch) gerecht, auch wenn </w:t>
      </w:r>
      <w:r w:rsidR="00305F85">
        <w:t>im Adressfeld lediglich die Lan</w:t>
      </w:r>
      <w:r w:rsidRPr="005E1426">
        <w:t>desstraßenbaubehörde genannt ist. Denn wegen der Bezugn</w:t>
      </w:r>
      <w:r w:rsidR="00BE38D0">
        <w:t>ahme auf die „</w:t>
      </w:r>
      <w:r w:rsidR="00BE38D0" w:rsidRPr="00BE38D0">
        <w:rPr>
          <w:u w:val="single"/>
        </w:rPr>
        <w:t>B 71</w:t>
      </w:r>
      <w:r w:rsidR="00BE38D0">
        <w:t xml:space="preserve"> und </w:t>
      </w:r>
      <w:r w:rsidR="00BE38D0" w:rsidRPr="00BE38D0">
        <w:rPr>
          <w:u w:val="single"/>
        </w:rPr>
        <w:t>B 245</w:t>
      </w:r>
      <w:r w:rsidR="00BE38D0">
        <w:t>“</w:t>
      </w:r>
      <w:r w:rsidRPr="005E1426">
        <w:t xml:space="preserve"> war für sie hinreichend erkennbar, dass hier die Bundesrepublik Deutschland als Träger der Straßenbaulast inhaltlich von dem Abgabenbescheid betroffen ist (vgl. zu einer ähnlichen Konstellation: VG Magdeburg, B. v. 22.07.2014 - 9 B 196/14 -; auch Schleswig-Holsteinisches Finanzgericht, U. v. 25.05.2016 - 1 K 171/14 -, </w:t>
      </w:r>
      <w:proofErr w:type="spellStart"/>
      <w:r w:rsidRPr="005E1426">
        <w:t>juris</w:t>
      </w:r>
      <w:proofErr w:type="spellEnd"/>
      <w:r w:rsidRPr="005E1426">
        <w:t>). War der Gebührenanspruch zu Beginn des Erhebungszeitraumes 2016 entstanden (vgl. §§ 5</w:t>
      </w:r>
      <w:r w:rsidR="00305F85">
        <w:t xml:space="preserve"> </w:t>
      </w:r>
      <w:r w:rsidRPr="005E1426">
        <w:t>Abs. 5 Satz 4 KAG LSA, 11 Abs. 2 GS 2016), hat der Beklagte diesen zu Recht mit Bescheid vom 16.06.2016 geltend gemacht. Bei sei</w:t>
      </w:r>
      <w:r w:rsidR="00305F85">
        <w:t>ner Gebührenerhebung ist der Be</w:t>
      </w:r>
      <w:r w:rsidRPr="005E1426">
        <w:t xml:space="preserve">klagte folgerichtig von den in § 8 Abs. 2 </w:t>
      </w:r>
      <w:proofErr w:type="spellStart"/>
      <w:r w:rsidRPr="005E1426">
        <w:t>lit</w:t>
      </w:r>
      <w:proofErr w:type="spellEnd"/>
      <w:r w:rsidRPr="005E1426">
        <w:t xml:space="preserve">. a) und </w:t>
      </w:r>
      <w:r w:rsidR="00305F85">
        <w:t>b) GS 2016 enthaltenen Gebühren</w:t>
      </w:r>
      <w:r w:rsidRPr="005E1426">
        <w:t>sätzen in Höhe von 0,42 €/m</w:t>
      </w:r>
      <w:r w:rsidRPr="005E1426">
        <w:rPr>
          <w:vertAlign w:val="superscript"/>
        </w:rPr>
        <w:t>2</w:t>
      </w:r>
      <w:r w:rsidRPr="005E1426">
        <w:t xml:space="preserve"> für di</w:t>
      </w:r>
      <w:r w:rsidR="00305F85">
        <w:t xml:space="preserve">e Einleitung in das Trennsystem </w:t>
      </w:r>
      <w:r w:rsidRPr="005E1426">
        <w:t>und</w:t>
      </w:r>
      <w:r w:rsidR="00305F85">
        <w:t xml:space="preserve"> </w:t>
      </w:r>
      <w:r w:rsidRPr="005E1426">
        <w:t>0,74 €/m</w:t>
      </w:r>
      <w:r w:rsidRPr="005E1426">
        <w:rPr>
          <w:vertAlign w:val="superscript"/>
        </w:rPr>
        <w:t>2</w:t>
      </w:r>
      <w:r w:rsidRPr="005E1426">
        <w:t xml:space="preserve"> für die Einleitung ins Misch</w:t>
      </w:r>
      <w:r w:rsidR="00305F85">
        <w:t>system ausgegangen; die inso</w:t>
      </w:r>
      <w:r w:rsidRPr="005E1426">
        <w:t>weit zugrunde gelegten Flächen (6.859 bzw. 17.786 m</w:t>
      </w:r>
      <w:r w:rsidRPr="005E1426">
        <w:rPr>
          <w:vertAlign w:val="superscript"/>
        </w:rPr>
        <w:t>2</w:t>
      </w:r>
      <w:r w:rsidRPr="005E1426">
        <w:t>)</w:t>
      </w:r>
      <w:r w:rsidR="00305F85">
        <w:t xml:space="preserve"> sind unstreitig und im gericht</w:t>
      </w:r>
      <w:r w:rsidRPr="005E1426">
        <w:t>lichen Verfahren belegt worden.</w:t>
      </w:r>
    </w:p>
    <w:p w:rsidR="00B13F0C" w:rsidRPr="005E1426" w:rsidRDefault="00B13F0C" w:rsidP="005E1426"/>
    <w:p w:rsidR="005E1426" w:rsidRDefault="005E1426" w:rsidP="005E1426">
      <w:r w:rsidRPr="005E1426">
        <w:t xml:space="preserve">cc) Der so dem Grunde und der Höhe nach rechtmäßigen Gebührenerhebung für den Zeitraum 2016 stehen auch nicht die in den Jahren 1998, 1999 und 2003 für die </w:t>
      </w:r>
      <w:r w:rsidRPr="00BE38D0">
        <w:rPr>
          <w:u w:val="single"/>
        </w:rPr>
        <w:t>B 245</w:t>
      </w:r>
      <w:r w:rsidR="008B08CA">
        <w:t xml:space="preserve"> </w:t>
      </w:r>
      <w:r w:rsidRPr="005E1426">
        <w:t xml:space="preserve">sowie im Jahre 2000 für die </w:t>
      </w:r>
      <w:r w:rsidRPr="00BE38D0">
        <w:rPr>
          <w:u w:val="single"/>
        </w:rPr>
        <w:t>B 71</w:t>
      </w:r>
      <w:r w:rsidRPr="005E1426">
        <w:t xml:space="preserve"> geschlossenen Vereinbarungen entgegen. An diesen, im Zuge von Straßenbaumaßnahmen abgeschlossenen Vereinbarungen waren sowohl - neben anderen Straßenbaulastträgern - die Bundesrepublik Deutschland als Träger der Straßenbaulast als auch der Beklagte in seiner E</w:t>
      </w:r>
      <w:r w:rsidR="008B08CA">
        <w:t>igenschaft als Träger der Abwas</w:t>
      </w:r>
      <w:r w:rsidRPr="005E1426">
        <w:t>serbeseitigung beteiligt. Darin sind mit unterschiedlic</w:t>
      </w:r>
      <w:r w:rsidR="008B08CA">
        <w:t>her sprachlicher Gestaltung Ver</w:t>
      </w:r>
      <w:r w:rsidRPr="005E1426">
        <w:t>einbarungen zur Kostenbeteiligung des Trägers der Straßenbaulast an der zugleich vorgenommenen Herstellung/ Erneuerung von Teile</w:t>
      </w:r>
      <w:r w:rsidR="008B08CA">
        <w:t>n der Abwasseranlage des Beklag</w:t>
      </w:r>
      <w:r w:rsidRPr="005E1426">
        <w:t xml:space="preserve">ten in Form von Pauschalsätzen unter Anlehnung an die </w:t>
      </w:r>
      <w:proofErr w:type="spellStart"/>
      <w:r w:rsidRPr="005E1426">
        <w:t>Ortsdurchfahrtenrichtlinie</w:t>
      </w:r>
      <w:proofErr w:type="spellEnd"/>
      <w:r w:rsidRPr="005E1426">
        <w:t xml:space="preserve"> (ODR) getroffen worden. Diese Vereinbarungen betrafen eine "Baustrecke" an der </w:t>
      </w:r>
      <w:r w:rsidRPr="00093E60">
        <w:rPr>
          <w:u w:val="single"/>
        </w:rPr>
        <w:t>B</w:t>
      </w:r>
      <w:r w:rsidR="008B08CA" w:rsidRPr="00093E60">
        <w:rPr>
          <w:u w:val="single"/>
        </w:rPr>
        <w:t xml:space="preserve"> 245</w:t>
      </w:r>
      <w:r w:rsidR="008B08CA">
        <w:t xml:space="preserve"> von ca. 2.500 m </w:t>
      </w:r>
      <w:r w:rsidRPr="005E1426">
        <w:t xml:space="preserve">und an der </w:t>
      </w:r>
      <w:r w:rsidRPr="00093E60">
        <w:rPr>
          <w:u w:val="single"/>
        </w:rPr>
        <w:t>B</w:t>
      </w:r>
      <w:r w:rsidR="008B08CA" w:rsidRPr="00093E60">
        <w:rPr>
          <w:u w:val="single"/>
        </w:rPr>
        <w:t xml:space="preserve"> 71</w:t>
      </w:r>
      <w:r w:rsidR="008B08CA">
        <w:t xml:space="preserve"> von ca. 700 m </w:t>
      </w:r>
      <w:r w:rsidRPr="005E1426">
        <w:t>was in</w:t>
      </w:r>
      <w:r w:rsidR="008B08CA">
        <w:t xml:space="preserve"> </w:t>
      </w:r>
      <w:r w:rsidRPr="005E1426">
        <w:t>etwa mit dem Bereich der Gebührenerhebung identisch ist. Den Vereinbarungen aus den Jahren 1998 und 1999 ist darüber hinaus zu entnehmen, dass "die Beteiligung bzw. Ablösesumme die Versorgungsunternehmensverwaltung verpflichten soll, die Entwässerungseinrichtungen (einschließlich Einlauf) zu reinigen, zu warten und notfalls Instandsetzungsarbeiten durchzuführen sowie das</w:t>
      </w:r>
      <w:r w:rsidR="008B08CA">
        <w:t xml:space="preserve"> Oberflächenwasser schadlos auf</w:t>
      </w:r>
      <w:r w:rsidRPr="005E1426">
        <w:t>zunehmen und schadlos abzuführen". Dass mit der Ko</w:t>
      </w:r>
      <w:r w:rsidR="008B08CA">
        <w:t>stenbeteiligung sämtliche Forde</w:t>
      </w:r>
      <w:r w:rsidRPr="005E1426">
        <w:t>rungen des Beklagten, die sich aus Bau/ Herstellung</w:t>
      </w:r>
      <w:r w:rsidR="008B08CA">
        <w:t xml:space="preserve"> und Unterhaltung der gemeindli</w:t>
      </w:r>
      <w:r w:rsidRPr="005E1426">
        <w:t>chen Kanalisation ergeben, abgegolten sind, ist Inhalt der Vereinbarungen aus den Jahren 2000 sowie 2003.</w:t>
      </w:r>
      <w:r w:rsidR="008B08CA">
        <w:t xml:space="preserve"> </w:t>
      </w:r>
      <w:r w:rsidRPr="005E1426">
        <w:t>Das Gericht kann es insoweit dahinstehen lassen, ob die Vereinbarungen formwirksam sind und überhaupt in hinreichender Weise einen Gebührenverzicht enthalten. Denn auch unterstellt, die in den Vereinbarungen vom Beklagten diesbezüglich abgeg</w:t>
      </w:r>
      <w:r w:rsidR="008B08CA">
        <w:t>ebe</w:t>
      </w:r>
      <w:r w:rsidRPr="005E1426">
        <w:t>nen Erklärungen wären vollumfänglich als wirksamer V</w:t>
      </w:r>
      <w:r w:rsidR="008B08CA">
        <w:t>erzicht auf eine künftige Gebüh</w:t>
      </w:r>
      <w:r w:rsidRPr="005E1426">
        <w:t xml:space="preserve">renerhebung auszulegen (vgl. VG Düsseldorf, U. v. 28.03.2012 - 5 K 1612/11 -, </w:t>
      </w:r>
      <w:proofErr w:type="spellStart"/>
      <w:r w:rsidRPr="005E1426">
        <w:t>juris</w:t>
      </w:r>
      <w:proofErr w:type="spellEnd"/>
      <w:r w:rsidRPr="005E1426">
        <w:t xml:space="preserve">, </w:t>
      </w:r>
      <w:proofErr w:type="spellStart"/>
      <w:r w:rsidRPr="005E1426">
        <w:t>Rn</w:t>
      </w:r>
      <w:proofErr w:type="spellEnd"/>
      <w:r w:rsidRPr="005E1426">
        <w:t>. 22), steht dies der Rechtmäßigkeit der hier st</w:t>
      </w:r>
      <w:r w:rsidR="008B08CA">
        <w:t>reitigen Bescheide für den Erhe</w:t>
      </w:r>
      <w:r w:rsidRPr="005E1426">
        <w:t>bungszeitraum 2016 nicht entgegen.</w:t>
      </w:r>
    </w:p>
    <w:p w:rsidR="008B08CA" w:rsidRPr="005E1426" w:rsidRDefault="008B08CA" w:rsidP="005E1426"/>
    <w:p w:rsidR="005E1426" w:rsidRDefault="005E1426" w:rsidP="005E1426">
      <w:r w:rsidRPr="005E1426">
        <w:t>In der Rechtsprechung sind die Grundsätze für einen Gebührenverzicht - außerhalb eines hier nicht beachtlichen Vergleichsvertrages n</w:t>
      </w:r>
      <w:r w:rsidR="008B08CA">
        <w:t>ach § 55 VwVfG - hinreichend ge</w:t>
      </w:r>
      <w:r w:rsidRPr="005E1426">
        <w:t>klärt.</w:t>
      </w:r>
      <w:r w:rsidR="00043DE1">
        <w:t xml:space="preserve"> </w:t>
      </w:r>
      <w:r w:rsidRPr="005E1426">
        <w:t xml:space="preserve">Kommunalabgaben sind nach §§ 13 Abs. 1 Satz 1 Ziffer 3 </w:t>
      </w:r>
      <w:proofErr w:type="spellStart"/>
      <w:r w:rsidRPr="005E1426">
        <w:t>lit</w:t>
      </w:r>
      <w:proofErr w:type="spellEnd"/>
      <w:r w:rsidRPr="005E1426">
        <w:t>. a) KAG LSA, 85 Satz 1 AO „nach Maßgabe der Gesetze gleichmä</w:t>
      </w:r>
      <w:r w:rsidR="001E3733">
        <w:t>ßig festzusetzen und zu erheben“</w:t>
      </w:r>
      <w:r w:rsidRPr="005E1426">
        <w:t>. Daraus ergeben sich Bindungen für die Abgabenerhebung ins</w:t>
      </w:r>
      <w:r w:rsidR="00043DE1">
        <w:t>oweit, als eine freie Verfügbar</w:t>
      </w:r>
      <w:r w:rsidRPr="005E1426">
        <w:t>keit, ob Abgaben im Einzelfall erhoben werden oder nicht oder ob dies in ge</w:t>
      </w:r>
      <w:r w:rsidR="00043DE1">
        <w:t>ringerer Höhe geschieht, als sat</w:t>
      </w:r>
      <w:r w:rsidRPr="005E1426">
        <w:t xml:space="preserve">zungsmäßig vorgesehen, ausgeschlossen wird, zumal allein §§ 1 VwVfG LSA, 54 VwVfG als taugliche Rechtsgrundlage ausscheidet (vgl. BVerwG, U. 30.05.2012 - 9 C 5/11 -, </w:t>
      </w:r>
      <w:proofErr w:type="spellStart"/>
      <w:r w:rsidRPr="005E1426">
        <w:t>juris</w:t>
      </w:r>
      <w:proofErr w:type="spellEnd"/>
      <w:r w:rsidRPr="005E1426">
        <w:t>). Die insoweit maßg</w:t>
      </w:r>
      <w:r w:rsidR="00043DE1">
        <w:t>eblichen abgabenrechtlichen Vor</w:t>
      </w:r>
      <w:r w:rsidRPr="005E1426">
        <w:t>schriften tragen als einfachgesetzliche Ausprägung den bundesverfassungsrechtlichen Vorgaben der Gesetzesgebundenheit der Verwaltung nach Art. 20 Abs. 3 GG und dem Gebot der Gleichmäßigkeit der Abgabenerhebung sowie der Abgabengerechtigkeit nach Art. 3 Abs. 1 GG Rechnung, die es ausschl</w:t>
      </w:r>
      <w:r w:rsidR="00043DE1">
        <w:t>ießen, Benutzungsgebühren abwei</w:t>
      </w:r>
      <w:r w:rsidRPr="005E1426">
        <w:t>chend von den gesetzlichen und satzungsrechtlichen Regelungen (nicht oder teilweise oder auch nur zeitweise nicht) zu erheben. Sind die Voraussetzungen der.§§ 13 a Abs. 1 Satz 5 KAG LSA, 163, 227 AO nicht gegeben, verstößt daher ein Gebühren(teil-)</w:t>
      </w:r>
      <w:proofErr w:type="spellStart"/>
      <w:r w:rsidRPr="005E1426">
        <w:t>verzicht</w:t>
      </w:r>
      <w:proofErr w:type="spellEnd"/>
      <w:r w:rsidRPr="005E1426">
        <w:t xml:space="preserve"> oder eine einseitige Zusage, die einen derartigen Gebührenverzicht bezweckt, regelmäßig gegen die Grundsätze der Abgabengerechtigkeit und Belastungsgleichheit als Ausfluss des Gleichbehandlungsgrundsatzes und gegen das Rechtsstaatsprinzip und den darin verankerten Grundsatz der Gesetzm</w:t>
      </w:r>
      <w:r w:rsidR="00043DE1">
        <w:t>äßigkeit der Abgabenerhebung so</w:t>
      </w:r>
      <w:r w:rsidRPr="005E1426">
        <w:t xml:space="preserve">wie gegen die o. g. einfachgesetzlichen Vorschriften </w:t>
      </w:r>
      <w:r w:rsidR="00043DE1">
        <w:t>(vgl. zum Ganzen OVG Branden</w:t>
      </w:r>
      <w:r w:rsidRPr="005E1426">
        <w:t xml:space="preserve">burg, B. v. 31.05.2005 - 2 B 15/04 -; VG Cottbus, U. v. 31.01.2013 - 6 K 868/12 -; U. v. 12.01.2012 - 6 K 855/10 -, alle </w:t>
      </w:r>
      <w:proofErr w:type="spellStart"/>
      <w:r w:rsidRPr="005E1426">
        <w:t>juris</w:t>
      </w:r>
      <w:proofErr w:type="spellEnd"/>
      <w:r w:rsidRPr="005E1426">
        <w:t>). Daraus ergibt sic</w:t>
      </w:r>
      <w:r w:rsidR="00043DE1">
        <w:t>h jedenfalls das absolut wirken</w:t>
      </w:r>
      <w:r w:rsidRPr="005E1426">
        <w:t>de Verbot, durch vertragliche Vereinbarungen oder einseitige Erklärungen von einer Beteiligung der Eigentümer oder Benutzer an den Kosten</w:t>
      </w:r>
      <w:r w:rsidR="00043DE1">
        <w:t xml:space="preserve"> für den Betrieb einer öffentli</w:t>
      </w:r>
      <w:r w:rsidRPr="005E1426">
        <w:t>chen Einrichtung ohne jegliche Gegenleistung abzusehen</w:t>
      </w:r>
      <w:r w:rsidR="00861754">
        <w:t xml:space="preserve">. </w:t>
      </w:r>
      <w:r w:rsidRPr="005E1426">
        <w:t>Aus diesen Gründen lässt die Rechtsprechung das Absehen von der Geltendmachung einer Abgabe durch Bescheid nur dann zu, wenn der</w:t>
      </w:r>
      <w:r w:rsidR="00043DE1">
        <w:t xml:space="preserve"> Verzicht auf Erhebung der Abga</w:t>
      </w:r>
      <w:r w:rsidRPr="005E1426">
        <w:t>be in einem sachlichen Zusammenhang zur Gegenleistung des Abgabenschuldners und die Leistung des Gläubigers nicht unangemessen gegenüber der Gegenleistung des Schuldners steht, weshalb im Zeitpunkt des Ve</w:t>
      </w:r>
      <w:r w:rsidR="00043DE1">
        <w:t>rtragsschlusses die Höhe der Ab</w:t>
      </w:r>
      <w:r w:rsidRPr="005E1426">
        <w:t>gabe nicht völlig ungewiss sein darf, da anderenfalls für die Vertragsschließenden gar nicht feststellbar war, ob Leistung und Gegenlei</w:t>
      </w:r>
      <w:r w:rsidR="007352F8">
        <w:t>stung in einem angemessenen Ver</w:t>
      </w:r>
      <w:r w:rsidRPr="005E1426">
        <w:t xml:space="preserve">hältnis zueinander stehen und deshalb die zu fordernde Abgabe mit der Erbringung des Surrogates jedenfalls als wirtschaftlich vereinnahmt gilt (dazu OVG Münster, B. v. 16.07.2018 - 15 B 616/18 -, </w:t>
      </w:r>
      <w:proofErr w:type="spellStart"/>
      <w:r w:rsidRPr="005E1426">
        <w:t>juris</w:t>
      </w:r>
      <w:proofErr w:type="spellEnd"/>
      <w:r w:rsidRPr="005E1426">
        <w:t>). Für den Verzicht auf die zukünftige Erhebung einer Benutzungsgebühr folgt daraus insbesondere weg</w:t>
      </w:r>
      <w:r w:rsidR="00043DE1">
        <w:t>en der ungewissen Kostenentwick</w:t>
      </w:r>
      <w:r w:rsidRPr="005E1426">
        <w:t>lung, dass die konkret vereinbarte - adäquate - Gegenleistung des Gebührenpflichtigen</w:t>
      </w:r>
      <w:r w:rsidR="00043DE1">
        <w:t xml:space="preserve"> </w:t>
      </w:r>
      <w:r w:rsidRPr="005E1426">
        <w:t>kumulativ zu einer zeitlichen Befristung stehen muss (sog. Umfang-Dauer-Erfordernis). Aus diesem Grunde kann ein vertraglicher Gebührenverzicht überhaupt nur für einen</w:t>
      </w:r>
      <w:r w:rsidR="00043DE1">
        <w:t xml:space="preserve"> </w:t>
      </w:r>
      <w:r w:rsidRPr="005E1426">
        <w:t>begrenzten, nach dem wirtschaftlichen Wert der Gegenleistung bemessenen Zeitraum</w:t>
      </w:r>
      <w:r w:rsidR="00043DE1">
        <w:t xml:space="preserve"> </w:t>
      </w:r>
      <w:r w:rsidRPr="005E1426">
        <w:t>erfolgen (vgl. OVG Münster, B. v. 24.07.2013 - 9 A 1290/12 - sowie v. 25.01.2016 - 9 A</w:t>
      </w:r>
      <w:r w:rsidR="00043DE1">
        <w:t xml:space="preserve"> </w:t>
      </w:r>
      <w:r w:rsidRPr="005E1426">
        <w:t xml:space="preserve">1042/13 -, beide </w:t>
      </w:r>
      <w:proofErr w:type="spellStart"/>
      <w:r w:rsidRPr="005E1426">
        <w:t>juris</w:t>
      </w:r>
      <w:proofErr w:type="spellEnd"/>
      <w:r w:rsidRPr="005E1426">
        <w:t>). Fehlt es daran, sind Regelungen jeglicher Art zwischen dem</w:t>
      </w:r>
      <w:r w:rsidR="00043DE1">
        <w:t xml:space="preserve"> </w:t>
      </w:r>
      <w:r w:rsidRPr="005E1426">
        <w:t>Einrichtungsträger und dem Gebührenschuldner betreffend namentlich einen Verzicht</w:t>
      </w:r>
      <w:r w:rsidR="00043DE1">
        <w:t xml:space="preserve"> </w:t>
      </w:r>
      <w:r w:rsidRPr="005E1426">
        <w:t>auf eine Gebührenerhebung unzulässig. Ein vertraglich vereinbarter Gebührenverzicht,</w:t>
      </w:r>
      <w:r w:rsidR="00043DE1">
        <w:t xml:space="preserve"> </w:t>
      </w:r>
      <w:r w:rsidRPr="005E1426">
        <w:t>der nicht den Vorgaben der §§ 163 Abs. 1, 227 Abs. 1 AO entspricht, ist insoweit</w:t>
      </w:r>
      <w:r w:rsidR="00043DE1">
        <w:t xml:space="preserve"> </w:t>
      </w:r>
      <w:r w:rsidRPr="005E1426">
        <w:t>grundsätzlich wegen Verstoßes gegen ein gesetzliches Verbot - nämlich gegen das</w:t>
      </w:r>
      <w:r w:rsidR="00043DE1">
        <w:t xml:space="preserve"> </w:t>
      </w:r>
      <w:r w:rsidRPr="005E1426">
        <w:t>aus Art. 20 Abs. 3 GG bzw. § 85 AO folgende Ver</w:t>
      </w:r>
      <w:r w:rsidR="00043DE1">
        <w:t>bot, vom Gesetz abweichende Ver</w:t>
      </w:r>
      <w:r w:rsidRPr="005E1426">
        <w:t>einbarungen über einen Gebührenanspruch zu treffen - nichtig (vgl. BVerwG, U. v.</w:t>
      </w:r>
      <w:r w:rsidR="00043DE1">
        <w:t xml:space="preserve"> </w:t>
      </w:r>
      <w:r w:rsidRPr="005E1426">
        <w:t xml:space="preserve">27.01.1982 - 8 C 24.81 -; VG Cottbus, U. v. 24.06.2013 - 6 K 336/13 -; beide </w:t>
      </w:r>
      <w:proofErr w:type="spellStart"/>
      <w:r w:rsidRPr="005E1426">
        <w:t>juris</w:t>
      </w:r>
      <w:proofErr w:type="spellEnd"/>
      <w:r w:rsidRPr="005E1426">
        <w:t>).</w:t>
      </w:r>
    </w:p>
    <w:p w:rsidR="00043DE1" w:rsidRPr="005E1426" w:rsidRDefault="00043DE1" w:rsidP="005E1426"/>
    <w:p w:rsidR="005E1426" w:rsidRPr="005E1426" w:rsidRDefault="005E1426" w:rsidP="005E1426">
      <w:r w:rsidRPr="005E1426">
        <w:t>Die Voraussetzungen für einen wirksamen Gebührenverzicht liegen hier nicht vor. Denn der Beklagte hat - auch seine [teilweise] abgegebenen Erklärungen zum Umfang der Abgeltung infolge der Kostenbeteiligung so ausgelegt - generell und ohne zeitliche Befristung auf die Erhebung von Gebühren für die En</w:t>
      </w:r>
      <w:r w:rsidR="007352F8">
        <w:t>twässerung der streitgegenständ</w:t>
      </w:r>
      <w:r w:rsidRPr="005E1426">
        <w:t>lichen Straßenflächen verzichtet. Solchen - und mit</w:t>
      </w:r>
      <w:r w:rsidR="007352F8">
        <w:t xml:space="preserve">hin auch den hier vorliegenden </w:t>
      </w:r>
      <w:r w:rsidRPr="005E1426">
        <w:t>Vereinbarungen ist eben gerade nicht zu entnehmen, von welcher Gebührenforderung</w:t>
      </w:r>
      <w:r w:rsidR="00861754">
        <w:t xml:space="preserve"> </w:t>
      </w:r>
      <w:r w:rsidRPr="005E1426">
        <w:t>die Beteiligten seinerzeit überhaupt ausgegangen sin</w:t>
      </w:r>
      <w:r w:rsidR="00F23DDB">
        <w:t>d und welche wirtschaftliche Ge</w:t>
      </w:r>
      <w:r w:rsidRPr="005E1426">
        <w:t>genleistung erbracht wird.</w:t>
      </w:r>
      <w:r w:rsidR="00F23DDB">
        <w:t xml:space="preserve"> Insbesondere ist völlig unklar, ob die vereinbarten Pau</w:t>
      </w:r>
      <w:r w:rsidRPr="005E1426">
        <w:t>schalsätze neben den investiven Kosten auch solche für die zukünftige Unterhaltung abdecken sollen/ können; eine zeitliche Dauer des G</w:t>
      </w:r>
      <w:r w:rsidR="00F23DDB">
        <w:t>ebührenverzichts ist den Verein</w:t>
      </w:r>
      <w:r w:rsidRPr="005E1426">
        <w:t>barungen in keiner Weise zu entnehmen. Deshalb kommt auch keine Auslegung der Vereinbarung dergestalt in Betracht, dass eine Nichtigkeit nur anzunehmen sei, soweit keine äquivalente Gegenleistung mehr vorliegt. Denn für die Bejahung der Nichtigkeit kommt es nicht darauf an, in welcher Höhe die Leistungen des Klägers sowie die Ge</w:t>
      </w:r>
      <w:r w:rsidRPr="005E1426">
        <w:softHyphen/>
        <w:t>genleistung der Beklagten in Form der unentgeltlichen Gewährleistung der schadlosen Ableitung des Straßenoberflächenwassers seit Bestehen der jeweiligen Vereinbarung für die Vergangenheit konkret zu beziffern wären, mit</w:t>
      </w:r>
      <w:r w:rsidR="00F23DDB">
        <w:t>hin ob diese nunmehr noch „</w:t>
      </w:r>
      <w:r w:rsidR="00861754">
        <w:t>valu</w:t>
      </w:r>
      <w:r w:rsidR="00F23DDB">
        <w:t>tieren“</w:t>
      </w:r>
      <w:r w:rsidRPr="005E1426">
        <w:t>. Vielmehr liegt ein wirksamer Gebührenverzich</w:t>
      </w:r>
      <w:r w:rsidR="00861754">
        <w:t>t nur dann vor, wenn der Verein</w:t>
      </w:r>
      <w:r w:rsidRPr="005E1426">
        <w:t>barung konkret zu entnehmen ist, von welcher Kostenbeteiligung hinsichtlich welchen Zeitraumes die Beteiligten ausgegangen sind, weshalb eine vertragliche Vereinbarung auf unbestimmte Zeit ohne konkrete rechnerische Berücksichtigung des wirtschaftlichen Wertes der Kostenbeteiligung zur Nichtigkeit der entsprechenden Vereinbarung führt (vgl. OVG Münster, B. v. 24.07.2013, a. a. 0.).</w:t>
      </w:r>
    </w:p>
    <w:p w:rsidR="005E1426" w:rsidRPr="005E1426" w:rsidRDefault="005E1426" w:rsidP="005E1426">
      <w:r w:rsidRPr="005E1426">
        <w:t xml:space="preserve">Im Lichte dessen vermag die Auffassung des Oberverwaltungsgerichts des Saarlandes (vgl. U. v. 02.03.2016 - 1 A 32/15 -, </w:t>
      </w:r>
      <w:proofErr w:type="spellStart"/>
      <w:r w:rsidRPr="005E1426">
        <w:t>juris</w:t>
      </w:r>
      <w:proofErr w:type="spellEnd"/>
      <w:r w:rsidRPr="005E1426">
        <w:t>), die davon ausgeht, dass sog. ODR-Vereinbarungen keinen unzulässigen Gebührenverzicht beinhalten würden, nicht zu überzeugen. Dabei kann vorliegend dahinstehen, ob sich die zwischen den Beteiligten getroffenen Vereinbarung überhaupt als "ODR-tauglich" erweisen oder sie sich allein an den darin vorgesehenen Pauschalsätze</w:t>
      </w:r>
      <w:r w:rsidR="00861754">
        <w:t>n</w:t>
      </w:r>
      <w:r w:rsidRPr="005E1426">
        <w:t xml:space="preserve"> orientieren. Denn bei einer Gesamtlänge der von der Gebührenerhebung für die B 245 betroffenen Straßenlänge von ca. 2.500 m, hätte sich aus der in den Jahren 1998 bis 2003 geltenden ODR-Grundpauschale von 127 Euro (vgl. Allgemeines Rundschreiben Straßenbau Nr. 11/1996 [</w:t>
      </w:r>
      <w:proofErr w:type="spellStart"/>
      <w:r w:rsidRPr="005E1426">
        <w:t>VkBl</w:t>
      </w:r>
      <w:proofErr w:type="spellEnd"/>
      <w:r w:rsidRPr="005E1426">
        <w:t>. 1996,</w:t>
      </w:r>
      <w:r w:rsidR="007352F8">
        <w:t xml:space="preserve"> </w:t>
      </w:r>
      <w:r w:rsidRPr="005E1426">
        <w:t>S. 207] sowie Runderlass des Ministeriums für Wirtschaft und Verkehr des Landes</w:t>
      </w:r>
      <w:r w:rsidR="00861754">
        <w:t xml:space="preserve"> </w:t>
      </w:r>
      <w:r w:rsidRPr="005E1426">
        <w:t>Sachsen-Anhalt vom 07.02.1997 in Verbindung mit dem Runderlass vom 14.05.1997</w:t>
      </w:r>
      <w:r w:rsidR="00861754">
        <w:t xml:space="preserve"> </w:t>
      </w:r>
      <w:r w:rsidRPr="005E1426">
        <w:t>[MB1. LSA Nr. 27/1997, S. 923 ff.) bereits eine Kostenbeteiligung in Höhe von ca.</w:t>
      </w:r>
      <w:r w:rsidR="00861754">
        <w:t xml:space="preserve"> </w:t>
      </w:r>
      <w:r w:rsidRPr="005E1426">
        <w:t>317.000 Euro ergeben. Dass eine solche Kostenbeteiligung vereinbart wurde, lässt</w:t>
      </w:r>
      <w:r w:rsidR="00861754">
        <w:t xml:space="preserve"> </w:t>
      </w:r>
      <w:r w:rsidRPr="005E1426">
        <w:t>sich weder den Vereinbarungen selbst noch der tats</w:t>
      </w:r>
      <w:r w:rsidR="00861754">
        <w:t>ächlichen Kostenbeteiligung ent</w:t>
      </w:r>
      <w:r w:rsidRPr="005E1426">
        <w:t>nehmen.</w:t>
      </w:r>
    </w:p>
    <w:p w:rsidR="005E1426" w:rsidRDefault="005E1426" w:rsidP="005E1426">
      <w:r w:rsidRPr="005E1426">
        <w:t>Sofern das OVG des Saarlandes für die von ihm vertretene Rechtsauffassung darauf verweist, dass in einer Vielzahl von Bundesländern (vgl. für Sachsen-Anhalt § 23 Abs. 5 StrG LSA) gesetzliche Regelungen zur Kostenbet</w:t>
      </w:r>
      <w:r w:rsidR="007352F8">
        <w:t>eiligung der Träger der Straßen</w:t>
      </w:r>
      <w:r w:rsidRPr="005E1426">
        <w:t>baulast bei der Herstellung oder Erneuerung eine</w:t>
      </w:r>
      <w:r w:rsidR="007352F8">
        <w:t>r mitgenutzten gemeindlichen Ab</w:t>
      </w:r>
      <w:r w:rsidRPr="005E1426">
        <w:t>wasseranlage in An</w:t>
      </w:r>
      <w:r w:rsidR="00887B04">
        <w:t xml:space="preserve">lehnung an Ziffer 14 ODR in der </w:t>
      </w:r>
      <w:r w:rsidRPr="005E1426">
        <w:t>Ge</w:t>
      </w:r>
      <w:r w:rsidR="007352F8">
        <w:t>stalt eines gesetzlichen Erstat</w:t>
      </w:r>
      <w:r w:rsidRPr="005E1426">
        <w:t>tungsanspruchs mit der Folge des Ausschlusses der</w:t>
      </w:r>
      <w:r w:rsidR="007352F8">
        <w:t xml:space="preserve"> Erhebung weiterer Entgelte vor</w:t>
      </w:r>
      <w:r w:rsidRPr="005E1426">
        <w:t>handen seien, was für einen im gebührenrechtlichen Sinne angemessenen Ausgleich für die Unentgeltlichkeit der Mitbenutzung der Abwasseranlage spreche, verfängt dies nach Auffassung des Gerichts schon deshalb nicht, weil die Rechtsfolge des § 23 Abs. 5 Satz 2 StrG LSA auch dann eintritt, wenn der ges</w:t>
      </w:r>
      <w:r w:rsidR="007352F8">
        <w:t>etzliche Anspruch nicht durchge</w:t>
      </w:r>
      <w:r w:rsidRPr="005E1426">
        <w:t>setzt bzw. erfüllt wurde (vgl. OVG LSA, U. v. 24.03.2009 -</w:t>
      </w:r>
      <w:r w:rsidR="007352F8">
        <w:t xml:space="preserve"> 4 L 438/06 -, </w:t>
      </w:r>
      <w:proofErr w:type="spellStart"/>
      <w:r w:rsidR="007352F8">
        <w:t>juris</w:t>
      </w:r>
      <w:proofErr w:type="spellEnd"/>
      <w:r w:rsidR="007352F8">
        <w:t>). Hinsicht</w:t>
      </w:r>
      <w:r w:rsidRPr="005E1426">
        <w:t>lich des hier beachtlichen</w:t>
      </w:r>
      <w:r w:rsidRPr="005E1426">
        <w:rPr>
          <w:vertAlign w:val="superscript"/>
        </w:rPr>
        <w:t>-</w:t>
      </w:r>
      <w:r w:rsidRPr="005E1426">
        <w:t>Gebührenverzichtes ist je</w:t>
      </w:r>
      <w:r w:rsidR="007352F8">
        <w:t>doch ausschließlich darauf abzu</w:t>
      </w:r>
      <w:r w:rsidRPr="005E1426">
        <w:t>stellen, ob und in welcher Höhe eine Gegenleistung vereinbart - bzw. sogar erbracht worden - ist. Mag eine solche Kostenbeteiligung nach</w:t>
      </w:r>
      <w:r w:rsidR="007352F8">
        <w:t xml:space="preserve"> der vorstehend zitierten Recht</w:t>
      </w:r>
      <w:r w:rsidRPr="005E1426">
        <w:t>sprechung des Oberverwaltungsgerichts des Landes Sachsen-Anhalt auch unter Pauschalierungsgesichtspunkten gerechtfertigt sein und einen Gebührenausschluss zur Folge haben, sind an einen Gebührenverzicht hinge</w:t>
      </w:r>
      <w:r w:rsidR="007352F8">
        <w:t>gen die oben erörterten Anforde</w:t>
      </w:r>
      <w:r w:rsidRPr="005E1426">
        <w:t xml:space="preserve">rungen zu stellen. Dass Vereinbarungen, die auf Pauschalsätzen in Anlehnung an die ODR beruhen, eine adäquate und allenfalls dann zum Gebührenverzicht berechtigende Gegenleistung der Träger der Straßenbaulast darstellen, begegnet aus der Sicht des Gerichts schon deshalb Bedenken, weil die danach vorgesehene Grundpauschale je laufenden, zu entwässernden Straßenmeter nur die jeweils hergestellte oder erneuerte Entwässerungsanlage und nicht wie das Gebührenrecht die Gesamtanlage im Blick hat. Dies zeigt sich exemplarisch an den o. a. Vereinbarungen zur </w:t>
      </w:r>
      <w:r w:rsidRPr="0019105B">
        <w:rPr>
          <w:u w:val="single"/>
        </w:rPr>
        <w:t>B 245</w:t>
      </w:r>
      <w:r w:rsidRPr="005E1426">
        <w:t>, in denen Kostenbeteiligungen (ohne Straßeneinläufe) in Höhe von - wenn überhaupt - ca. 160.000 Euro vereinbart wurden. Ungeachtet, welcher Anteil dabei auf die investiven Kosten entfällt, beträgt allein die Gebührenschuld für e</w:t>
      </w:r>
      <w:r w:rsidR="007352F8">
        <w:t>in Jahr ca. 13.000 Euro, bei ei</w:t>
      </w:r>
      <w:r w:rsidRPr="005E1426">
        <w:t>ner normativen Nutzungsdauer von ca. 50 Jahren (vgl. Ziffer 5.7 AfA-Tabellen) mithin ungefähr 650.000 Euro.</w:t>
      </w:r>
    </w:p>
    <w:p w:rsidR="007352F8" w:rsidRPr="005E1426" w:rsidRDefault="007352F8" w:rsidP="005E1426"/>
    <w:p w:rsidR="005E1426" w:rsidRPr="005E1426" w:rsidRDefault="005E1426" w:rsidP="005E1426">
      <w:r w:rsidRPr="005E1426">
        <w:t>Insoweit sieht das Gericht jedoch Veranlassung klarstellend darauf hinzuweisen, dass Mitbenutzungsvereinbarungen von Trägern der Straßenbaulast und Betreibern von Abwasseranlagen in Anlehnung an die Pauschalen der ODR ni</w:t>
      </w:r>
      <w:r w:rsidR="007352F8">
        <w:t>cht generell unwirksam sind, da</w:t>
      </w:r>
      <w:r w:rsidRPr="005E1426">
        <w:t xml:space="preserve">vorliegend allein für den Einzelfall die </w:t>
      </w:r>
      <w:proofErr w:type="spellStart"/>
      <w:r w:rsidRPr="005E1426">
        <w:t>Beachtli</w:t>
      </w:r>
      <w:r w:rsidR="007352F8">
        <w:t>chkeit</w:t>
      </w:r>
      <w:proofErr w:type="spellEnd"/>
      <w:r w:rsidR="007352F8">
        <w:t xml:space="preserve"> der getroffenen Vereinba</w:t>
      </w:r>
      <w:r w:rsidRPr="005E1426">
        <w:t>rungen hinsichtlich eines darin enthaltenen wirksam</w:t>
      </w:r>
      <w:r w:rsidR="007352F8">
        <w:t>en Gebührenverzichts zu beurtei</w:t>
      </w:r>
      <w:r w:rsidRPr="005E1426">
        <w:t>len war. Vergleichbares ergibt sich für die Frage, ob und welche (Erstattungs-)Ansprüche einem Träger der Straßenbaulast, der erfolgreich geltend machen kann, sich bereits an den Kosten beteiligt zu haben, für d</w:t>
      </w:r>
      <w:r w:rsidR="007352F8">
        <w:t>ie nunmehr Gebühren erhoben wer</w:t>
      </w:r>
      <w:r w:rsidRPr="005E1426">
        <w:t>den, zur Seite stehen.</w:t>
      </w:r>
    </w:p>
    <w:p w:rsidR="00B57A01" w:rsidRDefault="00B57A01" w:rsidP="00483BFC"/>
    <w:p w:rsidR="00B57A01" w:rsidRDefault="005E1426" w:rsidP="00483BFC">
      <w:r>
        <w:t>[…]</w:t>
      </w:r>
    </w:p>
    <w:p w:rsidR="00CD28D2" w:rsidRDefault="00CD28D2" w:rsidP="00483BFC"/>
    <w:p w:rsidR="009F78CF" w:rsidRPr="00512238" w:rsidRDefault="00A81F8C" w:rsidP="006F07DC">
      <w:pPr>
        <w:tabs>
          <w:tab w:val="left" w:pos="1108"/>
        </w:tabs>
        <w:rPr>
          <w:i/>
        </w:rPr>
      </w:pPr>
      <w:r w:rsidRPr="00512238">
        <w:rPr>
          <w:i/>
        </w:rPr>
        <w:t>KNSA</w:t>
      </w:r>
      <w:r w:rsidR="008F04C3">
        <w:rPr>
          <w:i/>
        </w:rPr>
        <w:t xml:space="preserve"> 121/2019 vom 20.03.2019</w:t>
      </w:r>
      <w:r w:rsidRPr="00512238">
        <w:rPr>
          <w:i/>
        </w:rPr>
        <w:tab/>
      </w:r>
      <w:r w:rsidR="00F065C6">
        <w:rPr>
          <w:i/>
        </w:rPr>
        <w:t>pa</w:t>
      </w:r>
      <w:r w:rsidR="00122FBF">
        <w:rPr>
          <w:i/>
        </w:rPr>
        <w:t>-</w:t>
      </w:r>
      <w:proofErr w:type="spellStart"/>
      <w:r w:rsidR="00122FBF">
        <w:rPr>
          <w:i/>
        </w:rPr>
        <w:t>r</w:t>
      </w:r>
      <w:r w:rsidR="00A9084F">
        <w:rPr>
          <w:i/>
        </w:rPr>
        <w:t>u</w:t>
      </w:r>
      <w:proofErr w:type="spellEnd"/>
    </w:p>
    <w:sectPr w:rsidR="009F78CF" w:rsidRPr="00512238" w:rsidSect="00F21607">
      <w:headerReference w:type="even" r:id="rId7"/>
      <w:headerReference w:type="default" r:id="rId8"/>
      <w:pgSz w:w="11906" w:h="16838"/>
      <w:pgMar w:top="1247" w:right="1021" w:bottom="1021" w:left="1134"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58D" w:rsidRDefault="0002658D">
      <w:r>
        <w:separator/>
      </w:r>
    </w:p>
  </w:endnote>
  <w:endnote w:type="continuationSeparator" w:id="0">
    <w:p w:rsidR="0002658D" w:rsidRDefault="0002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58D" w:rsidRDefault="0002658D">
      <w:r>
        <w:separator/>
      </w:r>
    </w:p>
  </w:footnote>
  <w:footnote w:type="continuationSeparator" w:id="0">
    <w:p w:rsidR="0002658D" w:rsidRDefault="0002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F70" w:rsidRDefault="00C23F70" w:rsidP="001A3735">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23F70" w:rsidRDefault="00C23F70">
    <w:pPr>
      <w:pStyle w:val="Kopfzeile"/>
    </w:pPr>
  </w:p>
  <w:p w:rsidR="00C23F70" w:rsidRDefault="00C23F7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F70" w:rsidRDefault="00C23F70" w:rsidP="001A3735">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2132A">
      <w:rPr>
        <w:rStyle w:val="Seitenzahl"/>
        <w:noProof/>
      </w:rPr>
      <w:t>5</w:t>
    </w:r>
    <w:r>
      <w:rPr>
        <w:rStyle w:val="Seitenzahl"/>
      </w:rPr>
      <w:fldChar w:fldCharType="end"/>
    </w:r>
  </w:p>
  <w:p w:rsidR="00C23F70" w:rsidRDefault="00C23F70">
    <w:pPr>
      <w:pStyle w:val="Kopfzeile"/>
    </w:pPr>
  </w:p>
  <w:p w:rsidR="00C23F70" w:rsidRDefault="00C23F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33C1"/>
    <w:multiLevelType w:val="hybridMultilevel"/>
    <w:tmpl w:val="13B44006"/>
    <w:lvl w:ilvl="0" w:tplc="44062120">
      <w:start w:val="1"/>
      <w:numFmt w:val="decimal"/>
      <w:lvlText w:val="%1."/>
      <w:lvlJc w:val="left"/>
      <w:pPr>
        <w:ind w:left="1778" w:hanging="360"/>
      </w:pPr>
    </w:lvl>
    <w:lvl w:ilvl="1" w:tplc="04070019">
      <w:start w:val="1"/>
      <w:numFmt w:val="lowerLetter"/>
      <w:lvlText w:val="%2."/>
      <w:lvlJc w:val="left"/>
      <w:pPr>
        <w:ind w:left="2498" w:hanging="360"/>
      </w:pPr>
    </w:lvl>
    <w:lvl w:ilvl="2" w:tplc="0407001B">
      <w:start w:val="1"/>
      <w:numFmt w:val="lowerRoman"/>
      <w:lvlText w:val="%3."/>
      <w:lvlJc w:val="right"/>
      <w:pPr>
        <w:ind w:left="3218" w:hanging="180"/>
      </w:pPr>
    </w:lvl>
    <w:lvl w:ilvl="3" w:tplc="0407000F">
      <w:start w:val="1"/>
      <w:numFmt w:val="decimal"/>
      <w:lvlText w:val="%4."/>
      <w:lvlJc w:val="left"/>
      <w:pPr>
        <w:ind w:left="3938" w:hanging="360"/>
      </w:pPr>
    </w:lvl>
    <w:lvl w:ilvl="4" w:tplc="04070019">
      <w:start w:val="1"/>
      <w:numFmt w:val="lowerLetter"/>
      <w:lvlText w:val="%5."/>
      <w:lvlJc w:val="left"/>
      <w:pPr>
        <w:ind w:left="4658" w:hanging="360"/>
      </w:pPr>
    </w:lvl>
    <w:lvl w:ilvl="5" w:tplc="0407001B">
      <w:start w:val="1"/>
      <w:numFmt w:val="lowerRoman"/>
      <w:lvlText w:val="%6."/>
      <w:lvlJc w:val="right"/>
      <w:pPr>
        <w:ind w:left="5378" w:hanging="180"/>
      </w:pPr>
    </w:lvl>
    <w:lvl w:ilvl="6" w:tplc="0407000F">
      <w:start w:val="1"/>
      <w:numFmt w:val="decimal"/>
      <w:lvlText w:val="%7."/>
      <w:lvlJc w:val="left"/>
      <w:pPr>
        <w:ind w:left="6098" w:hanging="360"/>
      </w:pPr>
    </w:lvl>
    <w:lvl w:ilvl="7" w:tplc="04070019">
      <w:start w:val="1"/>
      <w:numFmt w:val="lowerLetter"/>
      <w:lvlText w:val="%8."/>
      <w:lvlJc w:val="left"/>
      <w:pPr>
        <w:ind w:left="6818" w:hanging="360"/>
      </w:pPr>
    </w:lvl>
    <w:lvl w:ilvl="8" w:tplc="0407001B">
      <w:start w:val="1"/>
      <w:numFmt w:val="lowerRoman"/>
      <w:lvlText w:val="%9."/>
      <w:lvlJc w:val="right"/>
      <w:pPr>
        <w:ind w:left="7538" w:hanging="180"/>
      </w:pPr>
    </w:lvl>
  </w:abstractNum>
  <w:abstractNum w:abstractNumId="1" w15:restartNumberingAfterBreak="0">
    <w:nsid w:val="0F265995"/>
    <w:multiLevelType w:val="hybridMultilevel"/>
    <w:tmpl w:val="A894E038"/>
    <w:lvl w:ilvl="0" w:tplc="40EC057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74061E"/>
    <w:multiLevelType w:val="hybridMultilevel"/>
    <w:tmpl w:val="68FE5172"/>
    <w:lvl w:ilvl="0" w:tplc="6B0C2C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95E66"/>
    <w:multiLevelType w:val="hybridMultilevel"/>
    <w:tmpl w:val="C8B6A560"/>
    <w:lvl w:ilvl="0" w:tplc="C84ED324">
      <w:start w:val="117"/>
      <w:numFmt w:val="bullet"/>
      <w:lvlText w:val="-"/>
      <w:lvlJc w:val="left"/>
      <w:pPr>
        <w:ind w:left="1778" w:hanging="360"/>
      </w:pPr>
      <w:rPr>
        <w:rFonts w:ascii="Arial" w:eastAsia="Times New Roman" w:hAnsi="Arial" w:cs="Aria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4" w15:restartNumberingAfterBreak="0">
    <w:nsid w:val="194939A5"/>
    <w:multiLevelType w:val="hybridMultilevel"/>
    <w:tmpl w:val="445A9F3E"/>
    <w:lvl w:ilvl="0" w:tplc="6DC802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DA3E36"/>
    <w:multiLevelType w:val="hybridMultilevel"/>
    <w:tmpl w:val="97761EBA"/>
    <w:lvl w:ilvl="0" w:tplc="CC9AAF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CC0E64"/>
    <w:multiLevelType w:val="hybridMultilevel"/>
    <w:tmpl w:val="66868A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2015DB"/>
    <w:multiLevelType w:val="hybridMultilevel"/>
    <w:tmpl w:val="744E78D0"/>
    <w:lvl w:ilvl="0" w:tplc="6F5A2CF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B22F3F"/>
    <w:multiLevelType w:val="hybridMultilevel"/>
    <w:tmpl w:val="5FCC8EDE"/>
    <w:lvl w:ilvl="0" w:tplc="6DC8020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F107C73"/>
    <w:multiLevelType w:val="hybridMultilevel"/>
    <w:tmpl w:val="29E6DB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6B2864"/>
    <w:multiLevelType w:val="hybridMultilevel"/>
    <w:tmpl w:val="9E5A7AF8"/>
    <w:lvl w:ilvl="0" w:tplc="0D8CF00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9CA5232"/>
    <w:multiLevelType w:val="hybridMultilevel"/>
    <w:tmpl w:val="32C4DFB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2" w15:restartNumberingAfterBreak="0">
    <w:nsid w:val="66301AE8"/>
    <w:multiLevelType w:val="hybridMultilevel"/>
    <w:tmpl w:val="CBB6B2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5B6CC4"/>
    <w:multiLevelType w:val="hybridMultilevel"/>
    <w:tmpl w:val="EF7608C2"/>
    <w:lvl w:ilvl="0" w:tplc="0D8CF0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C547B2"/>
    <w:multiLevelType w:val="multilevel"/>
    <w:tmpl w:val="7910FFA8"/>
    <w:lvl w:ilvl="0">
      <w:start w:val="1"/>
      <w:numFmt w:val="lowerLetter"/>
      <w:lvlText w:val="%1)"/>
      <w:lvlJc w:val="left"/>
      <w:pPr>
        <w:tabs>
          <w:tab w:val="left" w:pos="288"/>
        </w:tabs>
      </w:pPr>
      <w:rPr>
        <w:rFonts w:ascii="Arial" w:eastAsia="Arial" w:hAnsi="Arial"/>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C61E79"/>
    <w:multiLevelType w:val="hybridMultilevel"/>
    <w:tmpl w:val="6C6CD792"/>
    <w:lvl w:ilvl="0" w:tplc="0D8CF00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C761C53"/>
    <w:multiLevelType w:val="hybridMultilevel"/>
    <w:tmpl w:val="BF76B4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1"/>
  </w:num>
  <w:num w:numId="3">
    <w:abstractNumId w:val="9"/>
  </w:num>
  <w:num w:numId="4">
    <w:abstractNumId w:val="12"/>
  </w:num>
  <w:num w:numId="5">
    <w:abstractNumId w:val="13"/>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3"/>
  </w:num>
  <w:num w:numId="11">
    <w:abstractNumId w:val="4"/>
  </w:num>
  <w:num w:numId="12">
    <w:abstractNumId w:val="2"/>
  </w:num>
  <w:num w:numId="13">
    <w:abstractNumId w:val="8"/>
  </w:num>
  <w:num w:numId="14">
    <w:abstractNumId w:val="1"/>
  </w:num>
  <w:num w:numId="15">
    <w:abstractNumId w:val="5"/>
  </w:num>
  <w:num w:numId="16">
    <w:abstractNumId w:val="7"/>
  </w:num>
  <w:num w:numId="17">
    <w:abstractNumId w:val="14"/>
  </w:num>
  <w:num w:numId="18">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74FE31A-F97A-444F-BA4D-6E283D075C5E}"/>
    <w:docVar w:name="dgnword-eventsink" w:val="496623064"/>
  </w:docVars>
  <w:rsids>
    <w:rsidRoot w:val="008E6354"/>
    <w:rsid w:val="000001C2"/>
    <w:rsid w:val="00000201"/>
    <w:rsid w:val="00000403"/>
    <w:rsid w:val="00000CB5"/>
    <w:rsid w:val="00001BA4"/>
    <w:rsid w:val="00002C80"/>
    <w:rsid w:val="00003CE7"/>
    <w:rsid w:val="00005F31"/>
    <w:rsid w:val="00007285"/>
    <w:rsid w:val="00007504"/>
    <w:rsid w:val="00007627"/>
    <w:rsid w:val="00011F92"/>
    <w:rsid w:val="0001260F"/>
    <w:rsid w:val="000143DB"/>
    <w:rsid w:val="000147C6"/>
    <w:rsid w:val="000148E5"/>
    <w:rsid w:val="00014EBC"/>
    <w:rsid w:val="0001661C"/>
    <w:rsid w:val="000167CD"/>
    <w:rsid w:val="00016B09"/>
    <w:rsid w:val="00017BEB"/>
    <w:rsid w:val="000211F5"/>
    <w:rsid w:val="00021E2A"/>
    <w:rsid w:val="00022D50"/>
    <w:rsid w:val="00023005"/>
    <w:rsid w:val="00023938"/>
    <w:rsid w:val="00023F25"/>
    <w:rsid w:val="00025BEE"/>
    <w:rsid w:val="00026121"/>
    <w:rsid w:val="000264F1"/>
    <w:rsid w:val="0002658D"/>
    <w:rsid w:val="0002694B"/>
    <w:rsid w:val="00026CE7"/>
    <w:rsid w:val="0002723B"/>
    <w:rsid w:val="00030500"/>
    <w:rsid w:val="0003121D"/>
    <w:rsid w:val="000315C5"/>
    <w:rsid w:val="000322AF"/>
    <w:rsid w:val="000330AE"/>
    <w:rsid w:val="000330C4"/>
    <w:rsid w:val="0003405D"/>
    <w:rsid w:val="0003431B"/>
    <w:rsid w:val="0003503E"/>
    <w:rsid w:val="000352CA"/>
    <w:rsid w:val="00035781"/>
    <w:rsid w:val="00035959"/>
    <w:rsid w:val="000373D2"/>
    <w:rsid w:val="00037D85"/>
    <w:rsid w:val="00040436"/>
    <w:rsid w:val="00040BED"/>
    <w:rsid w:val="00041318"/>
    <w:rsid w:val="000415BF"/>
    <w:rsid w:val="00041A83"/>
    <w:rsid w:val="00041EE8"/>
    <w:rsid w:val="00043DE1"/>
    <w:rsid w:val="0004409F"/>
    <w:rsid w:val="00044D63"/>
    <w:rsid w:val="000450E8"/>
    <w:rsid w:val="0004520D"/>
    <w:rsid w:val="00045A36"/>
    <w:rsid w:val="00046A69"/>
    <w:rsid w:val="000470D2"/>
    <w:rsid w:val="0004749A"/>
    <w:rsid w:val="0004758D"/>
    <w:rsid w:val="00047751"/>
    <w:rsid w:val="00047B16"/>
    <w:rsid w:val="000515B2"/>
    <w:rsid w:val="000515B7"/>
    <w:rsid w:val="00051B86"/>
    <w:rsid w:val="00052C16"/>
    <w:rsid w:val="00053117"/>
    <w:rsid w:val="00053512"/>
    <w:rsid w:val="00055A02"/>
    <w:rsid w:val="00056168"/>
    <w:rsid w:val="00056AE2"/>
    <w:rsid w:val="00057090"/>
    <w:rsid w:val="0006053A"/>
    <w:rsid w:val="00060AF5"/>
    <w:rsid w:val="000628DC"/>
    <w:rsid w:val="00063234"/>
    <w:rsid w:val="000634B9"/>
    <w:rsid w:val="000665E8"/>
    <w:rsid w:val="00066686"/>
    <w:rsid w:val="00066C42"/>
    <w:rsid w:val="00066E87"/>
    <w:rsid w:val="000701F7"/>
    <w:rsid w:val="00071315"/>
    <w:rsid w:val="00073A0B"/>
    <w:rsid w:val="00074D22"/>
    <w:rsid w:val="00075338"/>
    <w:rsid w:val="00075E03"/>
    <w:rsid w:val="00076AB1"/>
    <w:rsid w:val="00077891"/>
    <w:rsid w:val="00081103"/>
    <w:rsid w:val="0008124E"/>
    <w:rsid w:val="00081264"/>
    <w:rsid w:val="00081FCA"/>
    <w:rsid w:val="00082A4F"/>
    <w:rsid w:val="0008375D"/>
    <w:rsid w:val="000838E0"/>
    <w:rsid w:val="00084232"/>
    <w:rsid w:val="000846E1"/>
    <w:rsid w:val="00084CF8"/>
    <w:rsid w:val="00085CF4"/>
    <w:rsid w:val="00086980"/>
    <w:rsid w:val="00090268"/>
    <w:rsid w:val="00090AB7"/>
    <w:rsid w:val="00090D50"/>
    <w:rsid w:val="00090DC9"/>
    <w:rsid w:val="000922E2"/>
    <w:rsid w:val="00093B14"/>
    <w:rsid w:val="00093E60"/>
    <w:rsid w:val="00094B11"/>
    <w:rsid w:val="00095225"/>
    <w:rsid w:val="000956F0"/>
    <w:rsid w:val="00096068"/>
    <w:rsid w:val="00096D58"/>
    <w:rsid w:val="00097059"/>
    <w:rsid w:val="000977D2"/>
    <w:rsid w:val="00097C58"/>
    <w:rsid w:val="000A0770"/>
    <w:rsid w:val="000A1E47"/>
    <w:rsid w:val="000A2061"/>
    <w:rsid w:val="000A2550"/>
    <w:rsid w:val="000A2763"/>
    <w:rsid w:val="000A2A96"/>
    <w:rsid w:val="000A39E5"/>
    <w:rsid w:val="000A4421"/>
    <w:rsid w:val="000A486D"/>
    <w:rsid w:val="000A4C4E"/>
    <w:rsid w:val="000A5004"/>
    <w:rsid w:val="000A63A7"/>
    <w:rsid w:val="000A63E5"/>
    <w:rsid w:val="000A70DB"/>
    <w:rsid w:val="000A7CFD"/>
    <w:rsid w:val="000B0B41"/>
    <w:rsid w:val="000B1403"/>
    <w:rsid w:val="000B1646"/>
    <w:rsid w:val="000B1866"/>
    <w:rsid w:val="000B1F23"/>
    <w:rsid w:val="000B20A6"/>
    <w:rsid w:val="000B3DB5"/>
    <w:rsid w:val="000B3FD8"/>
    <w:rsid w:val="000B5431"/>
    <w:rsid w:val="000B59C6"/>
    <w:rsid w:val="000B7537"/>
    <w:rsid w:val="000C0F1F"/>
    <w:rsid w:val="000C0F63"/>
    <w:rsid w:val="000C4841"/>
    <w:rsid w:val="000C4F3F"/>
    <w:rsid w:val="000C51C1"/>
    <w:rsid w:val="000C579C"/>
    <w:rsid w:val="000C5F69"/>
    <w:rsid w:val="000C67B3"/>
    <w:rsid w:val="000C68C1"/>
    <w:rsid w:val="000D05DA"/>
    <w:rsid w:val="000D2300"/>
    <w:rsid w:val="000D333A"/>
    <w:rsid w:val="000D3BE9"/>
    <w:rsid w:val="000D3E73"/>
    <w:rsid w:val="000D40BB"/>
    <w:rsid w:val="000D4870"/>
    <w:rsid w:val="000D4BC1"/>
    <w:rsid w:val="000D668D"/>
    <w:rsid w:val="000D779A"/>
    <w:rsid w:val="000D79AC"/>
    <w:rsid w:val="000E14EF"/>
    <w:rsid w:val="000E1BFB"/>
    <w:rsid w:val="000E1DC5"/>
    <w:rsid w:val="000E252E"/>
    <w:rsid w:val="000E4A8F"/>
    <w:rsid w:val="000E4B62"/>
    <w:rsid w:val="000E66B5"/>
    <w:rsid w:val="000E7214"/>
    <w:rsid w:val="000E7388"/>
    <w:rsid w:val="000E7623"/>
    <w:rsid w:val="000E7FBF"/>
    <w:rsid w:val="000F0409"/>
    <w:rsid w:val="000F06C8"/>
    <w:rsid w:val="000F0987"/>
    <w:rsid w:val="000F14AC"/>
    <w:rsid w:val="000F178D"/>
    <w:rsid w:val="000F18B3"/>
    <w:rsid w:val="000F25BB"/>
    <w:rsid w:val="000F265E"/>
    <w:rsid w:val="000F2DDA"/>
    <w:rsid w:val="000F392A"/>
    <w:rsid w:val="000F3C7D"/>
    <w:rsid w:val="000F4D4A"/>
    <w:rsid w:val="000F642E"/>
    <w:rsid w:val="000F66F5"/>
    <w:rsid w:val="000F6984"/>
    <w:rsid w:val="000F6B7A"/>
    <w:rsid w:val="00100BEA"/>
    <w:rsid w:val="00101324"/>
    <w:rsid w:val="00101B2E"/>
    <w:rsid w:val="00102C50"/>
    <w:rsid w:val="00103CDD"/>
    <w:rsid w:val="00104401"/>
    <w:rsid w:val="00104F59"/>
    <w:rsid w:val="00105955"/>
    <w:rsid w:val="00106433"/>
    <w:rsid w:val="00106AD6"/>
    <w:rsid w:val="001103DA"/>
    <w:rsid w:val="00110C60"/>
    <w:rsid w:val="00111632"/>
    <w:rsid w:val="00112166"/>
    <w:rsid w:val="001122BE"/>
    <w:rsid w:val="00113C87"/>
    <w:rsid w:val="00114284"/>
    <w:rsid w:val="001166EB"/>
    <w:rsid w:val="00116E2E"/>
    <w:rsid w:val="0012012D"/>
    <w:rsid w:val="00120692"/>
    <w:rsid w:val="00122222"/>
    <w:rsid w:val="00122656"/>
    <w:rsid w:val="00122778"/>
    <w:rsid w:val="00122FBF"/>
    <w:rsid w:val="001230B2"/>
    <w:rsid w:val="00123A55"/>
    <w:rsid w:val="001243F2"/>
    <w:rsid w:val="0012510F"/>
    <w:rsid w:val="001255CE"/>
    <w:rsid w:val="0012604E"/>
    <w:rsid w:val="001269A8"/>
    <w:rsid w:val="001276DB"/>
    <w:rsid w:val="00127F37"/>
    <w:rsid w:val="00130B80"/>
    <w:rsid w:val="00130FBB"/>
    <w:rsid w:val="001310F9"/>
    <w:rsid w:val="00132620"/>
    <w:rsid w:val="00132756"/>
    <w:rsid w:val="00133758"/>
    <w:rsid w:val="00134067"/>
    <w:rsid w:val="0013473C"/>
    <w:rsid w:val="00136B28"/>
    <w:rsid w:val="00136C37"/>
    <w:rsid w:val="00136C9C"/>
    <w:rsid w:val="00137B43"/>
    <w:rsid w:val="0014010A"/>
    <w:rsid w:val="00140AB4"/>
    <w:rsid w:val="001416F9"/>
    <w:rsid w:val="00142A78"/>
    <w:rsid w:val="0014338A"/>
    <w:rsid w:val="00143779"/>
    <w:rsid w:val="0014636A"/>
    <w:rsid w:val="00146994"/>
    <w:rsid w:val="00147317"/>
    <w:rsid w:val="001507B2"/>
    <w:rsid w:val="0015140B"/>
    <w:rsid w:val="00151A6C"/>
    <w:rsid w:val="00152B75"/>
    <w:rsid w:val="00155133"/>
    <w:rsid w:val="001552F5"/>
    <w:rsid w:val="0015576F"/>
    <w:rsid w:val="00155E22"/>
    <w:rsid w:val="001565A7"/>
    <w:rsid w:val="00157738"/>
    <w:rsid w:val="00157C9E"/>
    <w:rsid w:val="00160425"/>
    <w:rsid w:val="00160556"/>
    <w:rsid w:val="00161319"/>
    <w:rsid w:val="00161699"/>
    <w:rsid w:val="001617DD"/>
    <w:rsid w:val="00161C5F"/>
    <w:rsid w:val="00162435"/>
    <w:rsid w:val="00162FA8"/>
    <w:rsid w:val="00163480"/>
    <w:rsid w:val="0016365D"/>
    <w:rsid w:val="001636FE"/>
    <w:rsid w:val="00163D84"/>
    <w:rsid w:val="001641C5"/>
    <w:rsid w:val="001641E4"/>
    <w:rsid w:val="0016515F"/>
    <w:rsid w:val="00165233"/>
    <w:rsid w:val="001653DB"/>
    <w:rsid w:val="00167697"/>
    <w:rsid w:val="001721E4"/>
    <w:rsid w:val="001725AC"/>
    <w:rsid w:val="001726BE"/>
    <w:rsid w:val="00172E8A"/>
    <w:rsid w:val="001737C0"/>
    <w:rsid w:val="001746AC"/>
    <w:rsid w:val="00174C1C"/>
    <w:rsid w:val="00175A8D"/>
    <w:rsid w:val="00176494"/>
    <w:rsid w:val="0017673D"/>
    <w:rsid w:val="001768EF"/>
    <w:rsid w:val="001774C7"/>
    <w:rsid w:val="001804C3"/>
    <w:rsid w:val="001821F5"/>
    <w:rsid w:val="00182837"/>
    <w:rsid w:val="0018296F"/>
    <w:rsid w:val="00182A43"/>
    <w:rsid w:val="001838C2"/>
    <w:rsid w:val="001850E1"/>
    <w:rsid w:val="00185BFD"/>
    <w:rsid w:val="00186746"/>
    <w:rsid w:val="0018733D"/>
    <w:rsid w:val="001879A2"/>
    <w:rsid w:val="00187AEC"/>
    <w:rsid w:val="00187D2D"/>
    <w:rsid w:val="00190331"/>
    <w:rsid w:val="0019040C"/>
    <w:rsid w:val="00190875"/>
    <w:rsid w:val="0019105B"/>
    <w:rsid w:val="001918E9"/>
    <w:rsid w:val="00192AA3"/>
    <w:rsid w:val="001930AA"/>
    <w:rsid w:val="00193CB0"/>
    <w:rsid w:val="00194380"/>
    <w:rsid w:val="001956AE"/>
    <w:rsid w:val="00195B73"/>
    <w:rsid w:val="00195CA3"/>
    <w:rsid w:val="00196403"/>
    <w:rsid w:val="001967DA"/>
    <w:rsid w:val="00196CBE"/>
    <w:rsid w:val="0019731B"/>
    <w:rsid w:val="001976A9"/>
    <w:rsid w:val="001A0924"/>
    <w:rsid w:val="001A0FD4"/>
    <w:rsid w:val="001A11B8"/>
    <w:rsid w:val="001A1686"/>
    <w:rsid w:val="001A3157"/>
    <w:rsid w:val="001A3735"/>
    <w:rsid w:val="001A3ED7"/>
    <w:rsid w:val="001A4FD8"/>
    <w:rsid w:val="001A5F41"/>
    <w:rsid w:val="001A6154"/>
    <w:rsid w:val="001A794B"/>
    <w:rsid w:val="001B107D"/>
    <w:rsid w:val="001B12AD"/>
    <w:rsid w:val="001B16C6"/>
    <w:rsid w:val="001B451F"/>
    <w:rsid w:val="001B497D"/>
    <w:rsid w:val="001B4CA2"/>
    <w:rsid w:val="001B5A73"/>
    <w:rsid w:val="001B7260"/>
    <w:rsid w:val="001B7527"/>
    <w:rsid w:val="001C05BB"/>
    <w:rsid w:val="001C0B88"/>
    <w:rsid w:val="001C1398"/>
    <w:rsid w:val="001C1569"/>
    <w:rsid w:val="001C3B7F"/>
    <w:rsid w:val="001C43A4"/>
    <w:rsid w:val="001C47FE"/>
    <w:rsid w:val="001C55ED"/>
    <w:rsid w:val="001C59DB"/>
    <w:rsid w:val="001C5EE1"/>
    <w:rsid w:val="001C621D"/>
    <w:rsid w:val="001C6462"/>
    <w:rsid w:val="001D08DD"/>
    <w:rsid w:val="001D0C4B"/>
    <w:rsid w:val="001D0FE5"/>
    <w:rsid w:val="001D178F"/>
    <w:rsid w:val="001D27DF"/>
    <w:rsid w:val="001D329F"/>
    <w:rsid w:val="001D4059"/>
    <w:rsid w:val="001D51E5"/>
    <w:rsid w:val="001D5821"/>
    <w:rsid w:val="001D5C6D"/>
    <w:rsid w:val="001D6157"/>
    <w:rsid w:val="001D6AFB"/>
    <w:rsid w:val="001D6B08"/>
    <w:rsid w:val="001D6BCA"/>
    <w:rsid w:val="001D77AB"/>
    <w:rsid w:val="001D7AE7"/>
    <w:rsid w:val="001E15A6"/>
    <w:rsid w:val="001E2EAF"/>
    <w:rsid w:val="001E3733"/>
    <w:rsid w:val="001E3BBB"/>
    <w:rsid w:val="001E48AA"/>
    <w:rsid w:val="001E4BE9"/>
    <w:rsid w:val="001E5D22"/>
    <w:rsid w:val="001E5E32"/>
    <w:rsid w:val="001E6D99"/>
    <w:rsid w:val="001E6F64"/>
    <w:rsid w:val="001E7C95"/>
    <w:rsid w:val="001F016A"/>
    <w:rsid w:val="001F0704"/>
    <w:rsid w:val="001F15A8"/>
    <w:rsid w:val="001F15D3"/>
    <w:rsid w:val="001F1FED"/>
    <w:rsid w:val="001F4E2E"/>
    <w:rsid w:val="001F5159"/>
    <w:rsid w:val="001F583C"/>
    <w:rsid w:val="001F5BFB"/>
    <w:rsid w:val="001F5F41"/>
    <w:rsid w:val="001F6262"/>
    <w:rsid w:val="0020031A"/>
    <w:rsid w:val="00202ABB"/>
    <w:rsid w:val="00202CE4"/>
    <w:rsid w:val="00204CC1"/>
    <w:rsid w:val="00205DA9"/>
    <w:rsid w:val="0020666C"/>
    <w:rsid w:val="00210B49"/>
    <w:rsid w:val="00211A89"/>
    <w:rsid w:val="00211AED"/>
    <w:rsid w:val="00211D1C"/>
    <w:rsid w:val="00212936"/>
    <w:rsid w:val="002129DD"/>
    <w:rsid w:val="00212E3A"/>
    <w:rsid w:val="00215451"/>
    <w:rsid w:val="002159C3"/>
    <w:rsid w:val="00215AB2"/>
    <w:rsid w:val="002164B6"/>
    <w:rsid w:val="002165CF"/>
    <w:rsid w:val="002169BC"/>
    <w:rsid w:val="00216B42"/>
    <w:rsid w:val="00220280"/>
    <w:rsid w:val="00221820"/>
    <w:rsid w:val="00222EBE"/>
    <w:rsid w:val="0022327C"/>
    <w:rsid w:val="0022545E"/>
    <w:rsid w:val="00227F83"/>
    <w:rsid w:val="002303BB"/>
    <w:rsid w:val="002303DB"/>
    <w:rsid w:val="00230514"/>
    <w:rsid w:val="00233A3C"/>
    <w:rsid w:val="00233B18"/>
    <w:rsid w:val="00234BF9"/>
    <w:rsid w:val="00235A4C"/>
    <w:rsid w:val="00241A18"/>
    <w:rsid w:val="00241FAB"/>
    <w:rsid w:val="00242814"/>
    <w:rsid w:val="00244B50"/>
    <w:rsid w:val="00244CC6"/>
    <w:rsid w:val="002477A8"/>
    <w:rsid w:val="002511A3"/>
    <w:rsid w:val="00251315"/>
    <w:rsid w:val="0025169B"/>
    <w:rsid w:val="00251BD4"/>
    <w:rsid w:val="00252EBF"/>
    <w:rsid w:val="0025349D"/>
    <w:rsid w:val="00253553"/>
    <w:rsid w:val="00254376"/>
    <w:rsid w:val="00254741"/>
    <w:rsid w:val="002553F1"/>
    <w:rsid w:val="00255989"/>
    <w:rsid w:val="0025638F"/>
    <w:rsid w:val="00256794"/>
    <w:rsid w:val="002576D2"/>
    <w:rsid w:val="00260FC7"/>
    <w:rsid w:val="00262E80"/>
    <w:rsid w:val="002658D3"/>
    <w:rsid w:val="00265941"/>
    <w:rsid w:val="00265EFC"/>
    <w:rsid w:val="0026605D"/>
    <w:rsid w:val="00266F8D"/>
    <w:rsid w:val="0026742F"/>
    <w:rsid w:val="00267933"/>
    <w:rsid w:val="00267F33"/>
    <w:rsid w:val="00270A67"/>
    <w:rsid w:val="00271611"/>
    <w:rsid w:val="002717C5"/>
    <w:rsid w:val="00271989"/>
    <w:rsid w:val="00271A58"/>
    <w:rsid w:val="00271DE0"/>
    <w:rsid w:val="002727B2"/>
    <w:rsid w:val="00273559"/>
    <w:rsid w:val="00274E5C"/>
    <w:rsid w:val="002754E3"/>
    <w:rsid w:val="00275830"/>
    <w:rsid w:val="00275A49"/>
    <w:rsid w:val="00276AFB"/>
    <w:rsid w:val="00276E61"/>
    <w:rsid w:val="00280951"/>
    <w:rsid w:val="00281739"/>
    <w:rsid w:val="0028196F"/>
    <w:rsid w:val="00282706"/>
    <w:rsid w:val="00282DA6"/>
    <w:rsid w:val="00284282"/>
    <w:rsid w:val="00285705"/>
    <w:rsid w:val="00286865"/>
    <w:rsid w:val="00286E53"/>
    <w:rsid w:val="00286E72"/>
    <w:rsid w:val="00287402"/>
    <w:rsid w:val="002879DF"/>
    <w:rsid w:val="00290630"/>
    <w:rsid w:val="00291A94"/>
    <w:rsid w:val="00291F4B"/>
    <w:rsid w:val="002922C6"/>
    <w:rsid w:val="00292538"/>
    <w:rsid w:val="00292C2C"/>
    <w:rsid w:val="0029353D"/>
    <w:rsid w:val="00294442"/>
    <w:rsid w:val="00295E6B"/>
    <w:rsid w:val="00296810"/>
    <w:rsid w:val="00296A1B"/>
    <w:rsid w:val="00296F0A"/>
    <w:rsid w:val="00297B70"/>
    <w:rsid w:val="002A021A"/>
    <w:rsid w:val="002A0C32"/>
    <w:rsid w:val="002A1D98"/>
    <w:rsid w:val="002A3060"/>
    <w:rsid w:val="002A35F6"/>
    <w:rsid w:val="002A3B31"/>
    <w:rsid w:val="002A473B"/>
    <w:rsid w:val="002A4C06"/>
    <w:rsid w:val="002A75FF"/>
    <w:rsid w:val="002A7709"/>
    <w:rsid w:val="002B0861"/>
    <w:rsid w:val="002B0BA9"/>
    <w:rsid w:val="002B1115"/>
    <w:rsid w:val="002B1C7F"/>
    <w:rsid w:val="002B2A44"/>
    <w:rsid w:val="002B3C20"/>
    <w:rsid w:val="002B573E"/>
    <w:rsid w:val="002B6456"/>
    <w:rsid w:val="002B6689"/>
    <w:rsid w:val="002C0187"/>
    <w:rsid w:val="002C1AAE"/>
    <w:rsid w:val="002C1BBA"/>
    <w:rsid w:val="002C1BE6"/>
    <w:rsid w:val="002C2BE8"/>
    <w:rsid w:val="002C2F8E"/>
    <w:rsid w:val="002C2FEE"/>
    <w:rsid w:val="002C3062"/>
    <w:rsid w:val="002C3F31"/>
    <w:rsid w:val="002C464A"/>
    <w:rsid w:val="002C5B60"/>
    <w:rsid w:val="002C6ED2"/>
    <w:rsid w:val="002C7AF1"/>
    <w:rsid w:val="002D0023"/>
    <w:rsid w:val="002D020B"/>
    <w:rsid w:val="002D0743"/>
    <w:rsid w:val="002D19DC"/>
    <w:rsid w:val="002D3F91"/>
    <w:rsid w:val="002D5B0F"/>
    <w:rsid w:val="002D5E0A"/>
    <w:rsid w:val="002D6202"/>
    <w:rsid w:val="002D693B"/>
    <w:rsid w:val="002D6995"/>
    <w:rsid w:val="002D6FED"/>
    <w:rsid w:val="002D7308"/>
    <w:rsid w:val="002E006F"/>
    <w:rsid w:val="002E0CE9"/>
    <w:rsid w:val="002E3398"/>
    <w:rsid w:val="002E3C1B"/>
    <w:rsid w:val="002E4415"/>
    <w:rsid w:val="002E48A5"/>
    <w:rsid w:val="002E4A39"/>
    <w:rsid w:val="002E59BB"/>
    <w:rsid w:val="002E5DB4"/>
    <w:rsid w:val="002E617C"/>
    <w:rsid w:val="002E636F"/>
    <w:rsid w:val="002E7C0E"/>
    <w:rsid w:val="002F0283"/>
    <w:rsid w:val="002F073F"/>
    <w:rsid w:val="002F08B6"/>
    <w:rsid w:val="002F0E95"/>
    <w:rsid w:val="002F2DB8"/>
    <w:rsid w:val="002F340D"/>
    <w:rsid w:val="002F468D"/>
    <w:rsid w:val="002F74FE"/>
    <w:rsid w:val="003014E1"/>
    <w:rsid w:val="003020BD"/>
    <w:rsid w:val="00302D26"/>
    <w:rsid w:val="003034E3"/>
    <w:rsid w:val="00303CEC"/>
    <w:rsid w:val="003043EE"/>
    <w:rsid w:val="0030483F"/>
    <w:rsid w:val="00304A22"/>
    <w:rsid w:val="003057BB"/>
    <w:rsid w:val="003058D9"/>
    <w:rsid w:val="00305F85"/>
    <w:rsid w:val="00306F90"/>
    <w:rsid w:val="00307183"/>
    <w:rsid w:val="00307224"/>
    <w:rsid w:val="0031021B"/>
    <w:rsid w:val="003102A6"/>
    <w:rsid w:val="003117C1"/>
    <w:rsid w:val="0031358E"/>
    <w:rsid w:val="00313EF9"/>
    <w:rsid w:val="00313F48"/>
    <w:rsid w:val="003146A3"/>
    <w:rsid w:val="00315AD9"/>
    <w:rsid w:val="00316A54"/>
    <w:rsid w:val="00316DD0"/>
    <w:rsid w:val="00316FCE"/>
    <w:rsid w:val="0032004C"/>
    <w:rsid w:val="003203D6"/>
    <w:rsid w:val="003215F3"/>
    <w:rsid w:val="003223F1"/>
    <w:rsid w:val="00323225"/>
    <w:rsid w:val="00323437"/>
    <w:rsid w:val="00324281"/>
    <w:rsid w:val="00324581"/>
    <w:rsid w:val="00325267"/>
    <w:rsid w:val="003254D0"/>
    <w:rsid w:val="00326BD4"/>
    <w:rsid w:val="00326DCC"/>
    <w:rsid w:val="003270B2"/>
    <w:rsid w:val="00327508"/>
    <w:rsid w:val="00327554"/>
    <w:rsid w:val="003278B9"/>
    <w:rsid w:val="00327D7A"/>
    <w:rsid w:val="00330169"/>
    <w:rsid w:val="0033030F"/>
    <w:rsid w:val="003308B2"/>
    <w:rsid w:val="00332516"/>
    <w:rsid w:val="00334983"/>
    <w:rsid w:val="00334C51"/>
    <w:rsid w:val="003368CC"/>
    <w:rsid w:val="003373C6"/>
    <w:rsid w:val="00337DBE"/>
    <w:rsid w:val="00340603"/>
    <w:rsid w:val="00340A5F"/>
    <w:rsid w:val="003425AD"/>
    <w:rsid w:val="00342A69"/>
    <w:rsid w:val="00342B48"/>
    <w:rsid w:val="00346DF9"/>
    <w:rsid w:val="0034721C"/>
    <w:rsid w:val="00347246"/>
    <w:rsid w:val="00347AA8"/>
    <w:rsid w:val="00347CA1"/>
    <w:rsid w:val="00350125"/>
    <w:rsid w:val="0035031A"/>
    <w:rsid w:val="00350CEB"/>
    <w:rsid w:val="003512D4"/>
    <w:rsid w:val="003513C0"/>
    <w:rsid w:val="00353A20"/>
    <w:rsid w:val="00354C86"/>
    <w:rsid w:val="003552AE"/>
    <w:rsid w:val="00355947"/>
    <w:rsid w:val="00356546"/>
    <w:rsid w:val="00356DFA"/>
    <w:rsid w:val="0036061D"/>
    <w:rsid w:val="0036062D"/>
    <w:rsid w:val="00361A3B"/>
    <w:rsid w:val="00361C00"/>
    <w:rsid w:val="0036299F"/>
    <w:rsid w:val="00362B11"/>
    <w:rsid w:val="00362B22"/>
    <w:rsid w:val="0036322F"/>
    <w:rsid w:val="00364016"/>
    <w:rsid w:val="00365063"/>
    <w:rsid w:val="0036558A"/>
    <w:rsid w:val="00365746"/>
    <w:rsid w:val="003660E4"/>
    <w:rsid w:val="00366DE5"/>
    <w:rsid w:val="00366DE7"/>
    <w:rsid w:val="003670A4"/>
    <w:rsid w:val="003714B7"/>
    <w:rsid w:val="00372C63"/>
    <w:rsid w:val="00372DAB"/>
    <w:rsid w:val="003734A4"/>
    <w:rsid w:val="00373F81"/>
    <w:rsid w:val="003741F6"/>
    <w:rsid w:val="00374485"/>
    <w:rsid w:val="003748A8"/>
    <w:rsid w:val="00374BBC"/>
    <w:rsid w:val="00375834"/>
    <w:rsid w:val="00377180"/>
    <w:rsid w:val="00377499"/>
    <w:rsid w:val="0038019F"/>
    <w:rsid w:val="00380338"/>
    <w:rsid w:val="00380A2D"/>
    <w:rsid w:val="00381983"/>
    <w:rsid w:val="0038400D"/>
    <w:rsid w:val="00385701"/>
    <w:rsid w:val="003858BF"/>
    <w:rsid w:val="00387F61"/>
    <w:rsid w:val="003900C0"/>
    <w:rsid w:val="003904F4"/>
    <w:rsid w:val="00390BC9"/>
    <w:rsid w:val="00390C0A"/>
    <w:rsid w:val="00390D19"/>
    <w:rsid w:val="0039203A"/>
    <w:rsid w:val="00393A7A"/>
    <w:rsid w:val="0039727F"/>
    <w:rsid w:val="003A0741"/>
    <w:rsid w:val="003A1607"/>
    <w:rsid w:val="003A1664"/>
    <w:rsid w:val="003A38BA"/>
    <w:rsid w:val="003A4445"/>
    <w:rsid w:val="003A4EBA"/>
    <w:rsid w:val="003A53CC"/>
    <w:rsid w:val="003A5B5B"/>
    <w:rsid w:val="003B0791"/>
    <w:rsid w:val="003B097C"/>
    <w:rsid w:val="003B0B0A"/>
    <w:rsid w:val="003B1C54"/>
    <w:rsid w:val="003B4498"/>
    <w:rsid w:val="003B46D0"/>
    <w:rsid w:val="003B56C5"/>
    <w:rsid w:val="003B6BBA"/>
    <w:rsid w:val="003B6D8B"/>
    <w:rsid w:val="003B768C"/>
    <w:rsid w:val="003C26E9"/>
    <w:rsid w:val="003C27FE"/>
    <w:rsid w:val="003C28BE"/>
    <w:rsid w:val="003C2D86"/>
    <w:rsid w:val="003C46F5"/>
    <w:rsid w:val="003C4881"/>
    <w:rsid w:val="003C4B15"/>
    <w:rsid w:val="003C521C"/>
    <w:rsid w:val="003C55E0"/>
    <w:rsid w:val="003C6532"/>
    <w:rsid w:val="003C6F8B"/>
    <w:rsid w:val="003C76BD"/>
    <w:rsid w:val="003C7D11"/>
    <w:rsid w:val="003D01FB"/>
    <w:rsid w:val="003D0215"/>
    <w:rsid w:val="003D04F3"/>
    <w:rsid w:val="003D0F3A"/>
    <w:rsid w:val="003D1BE2"/>
    <w:rsid w:val="003D1CF4"/>
    <w:rsid w:val="003D1EAD"/>
    <w:rsid w:val="003D2D85"/>
    <w:rsid w:val="003D3639"/>
    <w:rsid w:val="003D3765"/>
    <w:rsid w:val="003D45DF"/>
    <w:rsid w:val="003D4752"/>
    <w:rsid w:val="003D4A2B"/>
    <w:rsid w:val="003D528C"/>
    <w:rsid w:val="003D792C"/>
    <w:rsid w:val="003E0A1C"/>
    <w:rsid w:val="003E16DF"/>
    <w:rsid w:val="003E2F17"/>
    <w:rsid w:val="003E483A"/>
    <w:rsid w:val="003E5506"/>
    <w:rsid w:val="003E56C5"/>
    <w:rsid w:val="003E58F5"/>
    <w:rsid w:val="003E6007"/>
    <w:rsid w:val="003E676C"/>
    <w:rsid w:val="003E704D"/>
    <w:rsid w:val="003E70F5"/>
    <w:rsid w:val="003E724B"/>
    <w:rsid w:val="003E7708"/>
    <w:rsid w:val="003F2224"/>
    <w:rsid w:val="003F35ED"/>
    <w:rsid w:val="003F3B0C"/>
    <w:rsid w:val="003F4569"/>
    <w:rsid w:val="003F45D2"/>
    <w:rsid w:val="003F4B81"/>
    <w:rsid w:val="003F4EA1"/>
    <w:rsid w:val="003F6223"/>
    <w:rsid w:val="003F62F2"/>
    <w:rsid w:val="003F64D8"/>
    <w:rsid w:val="003F79F3"/>
    <w:rsid w:val="003F7B01"/>
    <w:rsid w:val="003F7E12"/>
    <w:rsid w:val="0040146B"/>
    <w:rsid w:val="00401529"/>
    <w:rsid w:val="004023B3"/>
    <w:rsid w:val="00403C03"/>
    <w:rsid w:val="004045F8"/>
    <w:rsid w:val="0040651F"/>
    <w:rsid w:val="004069A5"/>
    <w:rsid w:val="00406BE1"/>
    <w:rsid w:val="00406F0C"/>
    <w:rsid w:val="00406F37"/>
    <w:rsid w:val="00410815"/>
    <w:rsid w:val="00411327"/>
    <w:rsid w:val="00411B0E"/>
    <w:rsid w:val="00412557"/>
    <w:rsid w:val="00412C9C"/>
    <w:rsid w:val="00412E44"/>
    <w:rsid w:val="00413BAC"/>
    <w:rsid w:val="00414228"/>
    <w:rsid w:val="00415400"/>
    <w:rsid w:val="00415C89"/>
    <w:rsid w:val="0041628F"/>
    <w:rsid w:val="0041773B"/>
    <w:rsid w:val="00420C9A"/>
    <w:rsid w:val="00420F02"/>
    <w:rsid w:val="00421EDA"/>
    <w:rsid w:val="00421FCB"/>
    <w:rsid w:val="004221FF"/>
    <w:rsid w:val="00422241"/>
    <w:rsid w:val="0042232A"/>
    <w:rsid w:val="00422798"/>
    <w:rsid w:val="00422B26"/>
    <w:rsid w:val="0042348E"/>
    <w:rsid w:val="00423EE6"/>
    <w:rsid w:val="00426643"/>
    <w:rsid w:val="00427AB9"/>
    <w:rsid w:val="004310D0"/>
    <w:rsid w:val="00431B2D"/>
    <w:rsid w:val="00431FDE"/>
    <w:rsid w:val="00432086"/>
    <w:rsid w:val="00432C16"/>
    <w:rsid w:val="00433A36"/>
    <w:rsid w:val="00433ADF"/>
    <w:rsid w:val="00433B39"/>
    <w:rsid w:val="00435BFD"/>
    <w:rsid w:val="00436FB3"/>
    <w:rsid w:val="004374B2"/>
    <w:rsid w:val="004376D8"/>
    <w:rsid w:val="00437901"/>
    <w:rsid w:val="00437F6E"/>
    <w:rsid w:val="00440CB7"/>
    <w:rsid w:val="00442933"/>
    <w:rsid w:val="00442E20"/>
    <w:rsid w:val="00443AEC"/>
    <w:rsid w:val="004440FE"/>
    <w:rsid w:val="00444B2D"/>
    <w:rsid w:val="00444BE4"/>
    <w:rsid w:val="004465BF"/>
    <w:rsid w:val="0044756C"/>
    <w:rsid w:val="004476D7"/>
    <w:rsid w:val="00447B89"/>
    <w:rsid w:val="00447DA6"/>
    <w:rsid w:val="00450215"/>
    <w:rsid w:val="00450412"/>
    <w:rsid w:val="00450512"/>
    <w:rsid w:val="004533CE"/>
    <w:rsid w:val="00453C59"/>
    <w:rsid w:val="00453CB1"/>
    <w:rsid w:val="004541EB"/>
    <w:rsid w:val="00454BA0"/>
    <w:rsid w:val="00454BA3"/>
    <w:rsid w:val="00456397"/>
    <w:rsid w:val="00456B92"/>
    <w:rsid w:val="00456D1B"/>
    <w:rsid w:val="00456FFD"/>
    <w:rsid w:val="00457C63"/>
    <w:rsid w:val="004601F8"/>
    <w:rsid w:val="00460F27"/>
    <w:rsid w:val="00462222"/>
    <w:rsid w:val="00463A63"/>
    <w:rsid w:val="00463EB2"/>
    <w:rsid w:val="00464AA1"/>
    <w:rsid w:val="00464D1F"/>
    <w:rsid w:val="004655FE"/>
    <w:rsid w:val="0046654B"/>
    <w:rsid w:val="00466882"/>
    <w:rsid w:val="004678B5"/>
    <w:rsid w:val="00467AC0"/>
    <w:rsid w:val="00470994"/>
    <w:rsid w:val="004714E6"/>
    <w:rsid w:val="0047162C"/>
    <w:rsid w:val="0047182F"/>
    <w:rsid w:val="00472B58"/>
    <w:rsid w:val="004734B0"/>
    <w:rsid w:val="00473637"/>
    <w:rsid w:val="00473EBC"/>
    <w:rsid w:val="004741FC"/>
    <w:rsid w:val="00475E20"/>
    <w:rsid w:val="00475FD5"/>
    <w:rsid w:val="0047731E"/>
    <w:rsid w:val="00477A0F"/>
    <w:rsid w:val="00481301"/>
    <w:rsid w:val="00482E02"/>
    <w:rsid w:val="00483456"/>
    <w:rsid w:val="00483BFC"/>
    <w:rsid w:val="00483D5B"/>
    <w:rsid w:val="00484087"/>
    <w:rsid w:val="004868AF"/>
    <w:rsid w:val="00486F12"/>
    <w:rsid w:val="00487F82"/>
    <w:rsid w:val="004901E9"/>
    <w:rsid w:val="004908FF"/>
    <w:rsid w:val="00490EC9"/>
    <w:rsid w:val="00491DFC"/>
    <w:rsid w:val="00492181"/>
    <w:rsid w:val="004927EE"/>
    <w:rsid w:val="00492830"/>
    <w:rsid w:val="00493B01"/>
    <w:rsid w:val="0049428E"/>
    <w:rsid w:val="00494DB6"/>
    <w:rsid w:val="00496156"/>
    <w:rsid w:val="0049631A"/>
    <w:rsid w:val="0049641C"/>
    <w:rsid w:val="004965D7"/>
    <w:rsid w:val="00496C43"/>
    <w:rsid w:val="004970B0"/>
    <w:rsid w:val="00497F31"/>
    <w:rsid w:val="004A0496"/>
    <w:rsid w:val="004A135C"/>
    <w:rsid w:val="004A153B"/>
    <w:rsid w:val="004A1826"/>
    <w:rsid w:val="004A1F44"/>
    <w:rsid w:val="004A441A"/>
    <w:rsid w:val="004A501A"/>
    <w:rsid w:val="004A55E3"/>
    <w:rsid w:val="004A5D4F"/>
    <w:rsid w:val="004A5DFB"/>
    <w:rsid w:val="004A67E4"/>
    <w:rsid w:val="004A74A4"/>
    <w:rsid w:val="004A777C"/>
    <w:rsid w:val="004B02FC"/>
    <w:rsid w:val="004B17E7"/>
    <w:rsid w:val="004B1B70"/>
    <w:rsid w:val="004B3576"/>
    <w:rsid w:val="004B35DB"/>
    <w:rsid w:val="004B40FB"/>
    <w:rsid w:val="004B5ACC"/>
    <w:rsid w:val="004B6BA2"/>
    <w:rsid w:val="004B7406"/>
    <w:rsid w:val="004B7748"/>
    <w:rsid w:val="004B7762"/>
    <w:rsid w:val="004B776D"/>
    <w:rsid w:val="004B7950"/>
    <w:rsid w:val="004B7EBB"/>
    <w:rsid w:val="004C09AC"/>
    <w:rsid w:val="004C0C23"/>
    <w:rsid w:val="004C1883"/>
    <w:rsid w:val="004C3FDC"/>
    <w:rsid w:val="004C4689"/>
    <w:rsid w:val="004C5560"/>
    <w:rsid w:val="004C60CF"/>
    <w:rsid w:val="004C6239"/>
    <w:rsid w:val="004C7597"/>
    <w:rsid w:val="004C76D1"/>
    <w:rsid w:val="004D1543"/>
    <w:rsid w:val="004D1A98"/>
    <w:rsid w:val="004D1AA9"/>
    <w:rsid w:val="004D2964"/>
    <w:rsid w:val="004D2E55"/>
    <w:rsid w:val="004D46A9"/>
    <w:rsid w:val="004D5492"/>
    <w:rsid w:val="004D63B2"/>
    <w:rsid w:val="004D69A6"/>
    <w:rsid w:val="004D6A2E"/>
    <w:rsid w:val="004D75C4"/>
    <w:rsid w:val="004D796D"/>
    <w:rsid w:val="004D7AC9"/>
    <w:rsid w:val="004D7DD0"/>
    <w:rsid w:val="004D7EB1"/>
    <w:rsid w:val="004E05E3"/>
    <w:rsid w:val="004E245E"/>
    <w:rsid w:val="004E2687"/>
    <w:rsid w:val="004E2D37"/>
    <w:rsid w:val="004E2F01"/>
    <w:rsid w:val="004E2FCA"/>
    <w:rsid w:val="004E53D3"/>
    <w:rsid w:val="004E53EC"/>
    <w:rsid w:val="004E640C"/>
    <w:rsid w:val="004E6461"/>
    <w:rsid w:val="004F029C"/>
    <w:rsid w:val="004F030A"/>
    <w:rsid w:val="004F0DA2"/>
    <w:rsid w:val="004F12C5"/>
    <w:rsid w:val="004F3B84"/>
    <w:rsid w:val="004F3D0C"/>
    <w:rsid w:val="004F59FD"/>
    <w:rsid w:val="004F5AEA"/>
    <w:rsid w:val="004F6794"/>
    <w:rsid w:val="004F6BF8"/>
    <w:rsid w:val="004F78B8"/>
    <w:rsid w:val="004F7CB8"/>
    <w:rsid w:val="004F7E7F"/>
    <w:rsid w:val="00500D38"/>
    <w:rsid w:val="005011F1"/>
    <w:rsid w:val="005018FE"/>
    <w:rsid w:val="00501D50"/>
    <w:rsid w:val="00502B4A"/>
    <w:rsid w:val="005032F6"/>
    <w:rsid w:val="00504372"/>
    <w:rsid w:val="0050447F"/>
    <w:rsid w:val="00505CC5"/>
    <w:rsid w:val="005064AB"/>
    <w:rsid w:val="00506957"/>
    <w:rsid w:val="00507197"/>
    <w:rsid w:val="0050723B"/>
    <w:rsid w:val="00507C2B"/>
    <w:rsid w:val="005108DE"/>
    <w:rsid w:val="00511D90"/>
    <w:rsid w:val="005120BB"/>
    <w:rsid w:val="00512238"/>
    <w:rsid w:val="005133E6"/>
    <w:rsid w:val="005141D4"/>
    <w:rsid w:val="00514984"/>
    <w:rsid w:val="00514CC7"/>
    <w:rsid w:val="00514F7A"/>
    <w:rsid w:val="00514FB4"/>
    <w:rsid w:val="0051659A"/>
    <w:rsid w:val="00520C85"/>
    <w:rsid w:val="00520E7A"/>
    <w:rsid w:val="0052167C"/>
    <w:rsid w:val="00522DEF"/>
    <w:rsid w:val="00523337"/>
    <w:rsid w:val="00524B57"/>
    <w:rsid w:val="005254A2"/>
    <w:rsid w:val="00525A11"/>
    <w:rsid w:val="00525D25"/>
    <w:rsid w:val="005269F5"/>
    <w:rsid w:val="00526CEB"/>
    <w:rsid w:val="00527679"/>
    <w:rsid w:val="00527A4F"/>
    <w:rsid w:val="00527DDB"/>
    <w:rsid w:val="0053047A"/>
    <w:rsid w:val="00531322"/>
    <w:rsid w:val="0053399E"/>
    <w:rsid w:val="00533A2A"/>
    <w:rsid w:val="00534CEF"/>
    <w:rsid w:val="00535874"/>
    <w:rsid w:val="00536186"/>
    <w:rsid w:val="0053631C"/>
    <w:rsid w:val="00537B4B"/>
    <w:rsid w:val="00540093"/>
    <w:rsid w:val="00540F4F"/>
    <w:rsid w:val="0054165A"/>
    <w:rsid w:val="005423AB"/>
    <w:rsid w:val="00542A73"/>
    <w:rsid w:val="00542E72"/>
    <w:rsid w:val="00544F48"/>
    <w:rsid w:val="005459BD"/>
    <w:rsid w:val="0054637E"/>
    <w:rsid w:val="00550B45"/>
    <w:rsid w:val="00553FAF"/>
    <w:rsid w:val="00554CA7"/>
    <w:rsid w:val="005552BA"/>
    <w:rsid w:val="00555725"/>
    <w:rsid w:val="005563AE"/>
    <w:rsid w:val="005575F5"/>
    <w:rsid w:val="00557903"/>
    <w:rsid w:val="005603E0"/>
    <w:rsid w:val="005603FD"/>
    <w:rsid w:val="00560FA6"/>
    <w:rsid w:val="00561450"/>
    <w:rsid w:val="0056224D"/>
    <w:rsid w:val="005631DC"/>
    <w:rsid w:val="0056607E"/>
    <w:rsid w:val="0056696D"/>
    <w:rsid w:val="00567288"/>
    <w:rsid w:val="00567648"/>
    <w:rsid w:val="005705AC"/>
    <w:rsid w:val="0057123D"/>
    <w:rsid w:val="00571280"/>
    <w:rsid w:val="005713AB"/>
    <w:rsid w:val="00573508"/>
    <w:rsid w:val="005747F2"/>
    <w:rsid w:val="00575B91"/>
    <w:rsid w:val="00576E3A"/>
    <w:rsid w:val="005771F5"/>
    <w:rsid w:val="00577328"/>
    <w:rsid w:val="00577B12"/>
    <w:rsid w:val="00580758"/>
    <w:rsid w:val="00580BDC"/>
    <w:rsid w:val="00581F08"/>
    <w:rsid w:val="00582483"/>
    <w:rsid w:val="00582703"/>
    <w:rsid w:val="00582ADF"/>
    <w:rsid w:val="0058300A"/>
    <w:rsid w:val="00583134"/>
    <w:rsid w:val="00583647"/>
    <w:rsid w:val="00583B9F"/>
    <w:rsid w:val="00583C91"/>
    <w:rsid w:val="005843B1"/>
    <w:rsid w:val="00584C3F"/>
    <w:rsid w:val="00585127"/>
    <w:rsid w:val="005857E1"/>
    <w:rsid w:val="00585B55"/>
    <w:rsid w:val="00585E1A"/>
    <w:rsid w:val="00586630"/>
    <w:rsid w:val="0059006A"/>
    <w:rsid w:val="0059065F"/>
    <w:rsid w:val="00590E34"/>
    <w:rsid w:val="0059108F"/>
    <w:rsid w:val="00591B2B"/>
    <w:rsid w:val="00591C6C"/>
    <w:rsid w:val="0059227E"/>
    <w:rsid w:val="005923E1"/>
    <w:rsid w:val="00593B79"/>
    <w:rsid w:val="00594BF7"/>
    <w:rsid w:val="00595EED"/>
    <w:rsid w:val="005960BC"/>
    <w:rsid w:val="005966BC"/>
    <w:rsid w:val="00596938"/>
    <w:rsid w:val="005A0872"/>
    <w:rsid w:val="005A095F"/>
    <w:rsid w:val="005A1AFB"/>
    <w:rsid w:val="005A1CBE"/>
    <w:rsid w:val="005A25FD"/>
    <w:rsid w:val="005A2BBB"/>
    <w:rsid w:val="005A3E29"/>
    <w:rsid w:val="005A4899"/>
    <w:rsid w:val="005A494B"/>
    <w:rsid w:val="005A4A01"/>
    <w:rsid w:val="005A51C6"/>
    <w:rsid w:val="005A64C7"/>
    <w:rsid w:val="005A6B06"/>
    <w:rsid w:val="005A7B96"/>
    <w:rsid w:val="005A7CBA"/>
    <w:rsid w:val="005B1261"/>
    <w:rsid w:val="005B1B89"/>
    <w:rsid w:val="005B2198"/>
    <w:rsid w:val="005B2815"/>
    <w:rsid w:val="005B28C9"/>
    <w:rsid w:val="005B2B4F"/>
    <w:rsid w:val="005B4053"/>
    <w:rsid w:val="005B4917"/>
    <w:rsid w:val="005B72DF"/>
    <w:rsid w:val="005C0580"/>
    <w:rsid w:val="005C12E0"/>
    <w:rsid w:val="005C13E8"/>
    <w:rsid w:val="005C4393"/>
    <w:rsid w:val="005C6641"/>
    <w:rsid w:val="005C68A4"/>
    <w:rsid w:val="005C6A62"/>
    <w:rsid w:val="005D0481"/>
    <w:rsid w:val="005D09CA"/>
    <w:rsid w:val="005D11DE"/>
    <w:rsid w:val="005D430C"/>
    <w:rsid w:val="005D469D"/>
    <w:rsid w:val="005D5226"/>
    <w:rsid w:val="005D5DA1"/>
    <w:rsid w:val="005D5E79"/>
    <w:rsid w:val="005D6AC6"/>
    <w:rsid w:val="005D6D1E"/>
    <w:rsid w:val="005E11C5"/>
    <w:rsid w:val="005E1426"/>
    <w:rsid w:val="005E1DF2"/>
    <w:rsid w:val="005E287C"/>
    <w:rsid w:val="005E331C"/>
    <w:rsid w:val="005E36AD"/>
    <w:rsid w:val="005E4C68"/>
    <w:rsid w:val="005E63E6"/>
    <w:rsid w:val="005E74DB"/>
    <w:rsid w:val="005E7F65"/>
    <w:rsid w:val="005F08FB"/>
    <w:rsid w:val="005F0947"/>
    <w:rsid w:val="005F0D7F"/>
    <w:rsid w:val="005F1483"/>
    <w:rsid w:val="005F17EE"/>
    <w:rsid w:val="005F187E"/>
    <w:rsid w:val="005F2A39"/>
    <w:rsid w:val="005F3F5F"/>
    <w:rsid w:val="005F4212"/>
    <w:rsid w:val="005F4B2C"/>
    <w:rsid w:val="005F54F7"/>
    <w:rsid w:val="005F6487"/>
    <w:rsid w:val="005F7137"/>
    <w:rsid w:val="005F71AF"/>
    <w:rsid w:val="005F726E"/>
    <w:rsid w:val="00600634"/>
    <w:rsid w:val="0060068C"/>
    <w:rsid w:val="00602716"/>
    <w:rsid w:val="00604579"/>
    <w:rsid w:val="006100D5"/>
    <w:rsid w:val="00611AA3"/>
    <w:rsid w:val="00611D0E"/>
    <w:rsid w:val="00611DF1"/>
    <w:rsid w:val="00612657"/>
    <w:rsid w:val="0061268A"/>
    <w:rsid w:val="0061495B"/>
    <w:rsid w:val="00615208"/>
    <w:rsid w:val="00615E2B"/>
    <w:rsid w:val="00616742"/>
    <w:rsid w:val="00616F88"/>
    <w:rsid w:val="006174ED"/>
    <w:rsid w:val="00617976"/>
    <w:rsid w:val="00617F84"/>
    <w:rsid w:val="00620F26"/>
    <w:rsid w:val="006212D0"/>
    <w:rsid w:val="006220B3"/>
    <w:rsid w:val="00622CC0"/>
    <w:rsid w:val="006236DA"/>
    <w:rsid w:val="006239E8"/>
    <w:rsid w:val="0062428F"/>
    <w:rsid w:val="006243BE"/>
    <w:rsid w:val="00624A75"/>
    <w:rsid w:val="00624C0C"/>
    <w:rsid w:val="0062509B"/>
    <w:rsid w:val="006255EB"/>
    <w:rsid w:val="00626417"/>
    <w:rsid w:val="00626D22"/>
    <w:rsid w:val="00627087"/>
    <w:rsid w:val="00630FC9"/>
    <w:rsid w:val="00631DDB"/>
    <w:rsid w:val="00632580"/>
    <w:rsid w:val="0063287B"/>
    <w:rsid w:val="00632998"/>
    <w:rsid w:val="00634228"/>
    <w:rsid w:val="00635889"/>
    <w:rsid w:val="00635CC7"/>
    <w:rsid w:val="00635D64"/>
    <w:rsid w:val="00635F4A"/>
    <w:rsid w:val="00641EA3"/>
    <w:rsid w:val="006424BF"/>
    <w:rsid w:val="00642D3F"/>
    <w:rsid w:val="00642E4F"/>
    <w:rsid w:val="00643AAB"/>
    <w:rsid w:val="00643E21"/>
    <w:rsid w:val="006449B9"/>
    <w:rsid w:val="0064607A"/>
    <w:rsid w:val="00646851"/>
    <w:rsid w:val="00646EA5"/>
    <w:rsid w:val="006472B8"/>
    <w:rsid w:val="00647363"/>
    <w:rsid w:val="0064763F"/>
    <w:rsid w:val="00647EF0"/>
    <w:rsid w:val="006523BE"/>
    <w:rsid w:val="006526D5"/>
    <w:rsid w:val="0065294B"/>
    <w:rsid w:val="0065450A"/>
    <w:rsid w:val="00654DB4"/>
    <w:rsid w:val="00654DCC"/>
    <w:rsid w:val="00656921"/>
    <w:rsid w:val="00660DA6"/>
    <w:rsid w:val="006614AE"/>
    <w:rsid w:val="006625D5"/>
    <w:rsid w:val="00662850"/>
    <w:rsid w:val="006630C8"/>
    <w:rsid w:val="006662C9"/>
    <w:rsid w:val="00667A0C"/>
    <w:rsid w:val="00667CC4"/>
    <w:rsid w:val="00667FF0"/>
    <w:rsid w:val="00670439"/>
    <w:rsid w:val="00670A6A"/>
    <w:rsid w:val="0067189D"/>
    <w:rsid w:val="0067208E"/>
    <w:rsid w:val="006725CC"/>
    <w:rsid w:val="0067343F"/>
    <w:rsid w:val="0067367E"/>
    <w:rsid w:val="00673C21"/>
    <w:rsid w:val="00673D1C"/>
    <w:rsid w:val="006752F9"/>
    <w:rsid w:val="00675866"/>
    <w:rsid w:val="00677A52"/>
    <w:rsid w:val="00677AD1"/>
    <w:rsid w:val="006811AD"/>
    <w:rsid w:val="006811EE"/>
    <w:rsid w:val="00681203"/>
    <w:rsid w:val="0068142E"/>
    <w:rsid w:val="006818A6"/>
    <w:rsid w:val="0068193E"/>
    <w:rsid w:val="00682346"/>
    <w:rsid w:val="006826DB"/>
    <w:rsid w:val="00683239"/>
    <w:rsid w:val="00683330"/>
    <w:rsid w:val="0068393C"/>
    <w:rsid w:val="00683B49"/>
    <w:rsid w:val="00683DEE"/>
    <w:rsid w:val="00684B8D"/>
    <w:rsid w:val="0068553C"/>
    <w:rsid w:val="00685BC8"/>
    <w:rsid w:val="00686B46"/>
    <w:rsid w:val="00686CE9"/>
    <w:rsid w:val="00687274"/>
    <w:rsid w:val="00687426"/>
    <w:rsid w:val="00687736"/>
    <w:rsid w:val="00687A60"/>
    <w:rsid w:val="006908AF"/>
    <w:rsid w:val="00691399"/>
    <w:rsid w:val="00691DAF"/>
    <w:rsid w:val="006929D6"/>
    <w:rsid w:val="00693AC7"/>
    <w:rsid w:val="00694E80"/>
    <w:rsid w:val="00696E2D"/>
    <w:rsid w:val="006973EE"/>
    <w:rsid w:val="006A039B"/>
    <w:rsid w:val="006A07DD"/>
    <w:rsid w:val="006A21F9"/>
    <w:rsid w:val="006A2C84"/>
    <w:rsid w:val="006A392A"/>
    <w:rsid w:val="006A3A9B"/>
    <w:rsid w:val="006A6476"/>
    <w:rsid w:val="006A7468"/>
    <w:rsid w:val="006A77D7"/>
    <w:rsid w:val="006A7B70"/>
    <w:rsid w:val="006B1E30"/>
    <w:rsid w:val="006B22B9"/>
    <w:rsid w:val="006B2722"/>
    <w:rsid w:val="006B4517"/>
    <w:rsid w:val="006B4BA5"/>
    <w:rsid w:val="006B4DD8"/>
    <w:rsid w:val="006B5CD5"/>
    <w:rsid w:val="006B6D24"/>
    <w:rsid w:val="006B7373"/>
    <w:rsid w:val="006B78B1"/>
    <w:rsid w:val="006B7977"/>
    <w:rsid w:val="006C00CF"/>
    <w:rsid w:val="006C02FF"/>
    <w:rsid w:val="006C0786"/>
    <w:rsid w:val="006C12C5"/>
    <w:rsid w:val="006C1AEA"/>
    <w:rsid w:val="006C2DB6"/>
    <w:rsid w:val="006C33D1"/>
    <w:rsid w:val="006C367A"/>
    <w:rsid w:val="006C36B1"/>
    <w:rsid w:val="006C3F87"/>
    <w:rsid w:val="006C4A92"/>
    <w:rsid w:val="006C4ED2"/>
    <w:rsid w:val="006C50CA"/>
    <w:rsid w:val="006C5274"/>
    <w:rsid w:val="006C7F31"/>
    <w:rsid w:val="006D0239"/>
    <w:rsid w:val="006D073F"/>
    <w:rsid w:val="006D098F"/>
    <w:rsid w:val="006D143E"/>
    <w:rsid w:val="006D2347"/>
    <w:rsid w:val="006D2B08"/>
    <w:rsid w:val="006D37B2"/>
    <w:rsid w:val="006D39A5"/>
    <w:rsid w:val="006D3A97"/>
    <w:rsid w:val="006D420F"/>
    <w:rsid w:val="006D4F48"/>
    <w:rsid w:val="006D50CB"/>
    <w:rsid w:val="006D5F5E"/>
    <w:rsid w:val="006D647C"/>
    <w:rsid w:val="006D7672"/>
    <w:rsid w:val="006E0E74"/>
    <w:rsid w:val="006E285E"/>
    <w:rsid w:val="006E30E3"/>
    <w:rsid w:val="006E4381"/>
    <w:rsid w:val="006E5A5F"/>
    <w:rsid w:val="006E6F20"/>
    <w:rsid w:val="006E72C6"/>
    <w:rsid w:val="006F07DC"/>
    <w:rsid w:val="006F1808"/>
    <w:rsid w:val="006F222B"/>
    <w:rsid w:val="006F23BE"/>
    <w:rsid w:val="006F3088"/>
    <w:rsid w:val="006F336A"/>
    <w:rsid w:val="006F5DA8"/>
    <w:rsid w:val="0070086A"/>
    <w:rsid w:val="00701342"/>
    <w:rsid w:val="007020DB"/>
    <w:rsid w:val="00703B33"/>
    <w:rsid w:val="0070402C"/>
    <w:rsid w:val="007040D0"/>
    <w:rsid w:val="0070557B"/>
    <w:rsid w:val="00706A95"/>
    <w:rsid w:val="00706C5B"/>
    <w:rsid w:val="007071C7"/>
    <w:rsid w:val="00710964"/>
    <w:rsid w:val="00710D14"/>
    <w:rsid w:val="00711A21"/>
    <w:rsid w:val="0071285D"/>
    <w:rsid w:val="007130D4"/>
    <w:rsid w:val="007138A5"/>
    <w:rsid w:val="007139B2"/>
    <w:rsid w:val="00715B88"/>
    <w:rsid w:val="00716278"/>
    <w:rsid w:val="00716CA2"/>
    <w:rsid w:val="00717043"/>
    <w:rsid w:val="007175AD"/>
    <w:rsid w:val="00720D90"/>
    <w:rsid w:val="00721C92"/>
    <w:rsid w:val="0072219A"/>
    <w:rsid w:val="00722F49"/>
    <w:rsid w:val="007232DD"/>
    <w:rsid w:val="007236CC"/>
    <w:rsid w:val="00723B80"/>
    <w:rsid w:val="007247E4"/>
    <w:rsid w:val="00726150"/>
    <w:rsid w:val="007303CE"/>
    <w:rsid w:val="00731025"/>
    <w:rsid w:val="00731D43"/>
    <w:rsid w:val="00732AE1"/>
    <w:rsid w:val="00732B56"/>
    <w:rsid w:val="00732FD3"/>
    <w:rsid w:val="00733396"/>
    <w:rsid w:val="007338C8"/>
    <w:rsid w:val="00734384"/>
    <w:rsid w:val="007352F8"/>
    <w:rsid w:val="00735529"/>
    <w:rsid w:val="00735B05"/>
    <w:rsid w:val="007365A9"/>
    <w:rsid w:val="00736C31"/>
    <w:rsid w:val="0074030B"/>
    <w:rsid w:val="007403BF"/>
    <w:rsid w:val="0074054C"/>
    <w:rsid w:val="00740A3B"/>
    <w:rsid w:val="00741316"/>
    <w:rsid w:val="007415C1"/>
    <w:rsid w:val="00741B24"/>
    <w:rsid w:val="0074240E"/>
    <w:rsid w:val="0074276D"/>
    <w:rsid w:val="0074345D"/>
    <w:rsid w:val="00743D03"/>
    <w:rsid w:val="00743E01"/>
    <w:rsid w:val="00744F4E"/>
    <w:rsid w:val="007453A4"/>
    <w:rsid w:val="00745A8D"/>
    <w:rsid w:val="00745F4E"/>
    <w:rsid w:val="007462F7"/>
    <w:rsid w:val="007472EC"/>
    <w:rsid w:val="00747AC9"/>
    <w:rsid w:val="0075116C"/>
    <w:rsid w:val="00751BC0"/>
    <w:rsid w:val="007521E6"/>
    <w:rsid w:val="00752A7F"/>
    <w:rsid w:val="00752DD6"/>
    <w:rsid w:val="007533E3"/>
    <w:rsid w:val="007536A2"/>
    <w:rsid w:val="00753B95"/>
    <w:rsid w:val="00754A30"/>
    <w:rsid w:val="007554D0"/>
    <w:rsid w:val="007557E0"/>
    <w:rsid w:val="007562C9"/>
    <w:rsid w:val="00756E17"/>
    <w:rsid w:val="007572CD"/>
    <w:rsid w:val="00757E20"/>
    <w:rsid w:val="007606E4"/>
    <w:rsid w:val="00760C01"/>
    <w:rsid w:val="00761D48"/>
    <w:rsid w:val="00762926"/>
    <w:rsid w:val="00763018"/>
    <w:rsid w:val="00763D5B"/>
    <w:rsid w:val="00763FBD"/>
    <w:rsid w:val="007641EA"/>
    <w:rsid w:val="00765FC3"/>
    <w:rsid w:val="00766575"/>
    <w:rsid w:val="00766637"/>
    <w:rsid w:val="007666CF"/>
    <w:rsid w:val="00767367"/>
    <w:rsid w:val="00770F64"/>
    <w:rsid w:val="00772050"/>
    <w:rsid w:val="0077375B"/>
    <w:rsid w:val="007745E5"/>
    <w:rsid w:val="00774CCA"/>
    <w:rsid w:val="007750D7"/>
    <w:rsid w:val="0077566E"/>
    <w:rsid w:val="007773D7"/>
    <w:rsid w:val="00777C79"/>
    <w:rsid w:val="00777E05"/>
    <w:rsid w:val="00777EAE"/>
    <w:rsid w:val="00780B0B"/>
    <w:rsid w:val="00781B8F"/>
    <w:rsid w:val="00782E50"/>
    <w:rsid w:val="0078329C"/>
    <w:rsid w:val="0078382E"/>
    <w:rsid w:val="007838C5"/>
    <w:rsid w:val="00783A41"/>
    <w:rsid w:val="0078494C"/>
    <w:rsid w:val="0078584B"/>
    <w:rsid w:val="007858B1"/>
    <w:rsid w:val="00785C39"/>
    <w:rsid w:val="00785E52"/>
    <w:rsid w:val="00786068"/>
    <w:rsid w:val="0078652C"/>
    <w:rsid w:val="00786CEC"/>
    <w:rsid w:val="0078714F"/>
    <w:rsid w:val="00790734"/>
    <w:rsid w:val="0079101A"/>
    <w:rsid w:val="00791411"/>
    <w:rsid w:val="00791564"/>
    <w:rsid w:val="00792DA4"/>
    <w:rsid w:val="0079604A"/>
    <w:rsid w:val="00797BB5"/>
    <w:rsid w:val="00797EB2"/>
    <w:rsid w:val="007A03A7"/>
    <w:rsid w:val="007A0622"/>
    <w:rsid w:val="007A0EE3"/>
    <w:rsid w:val="007A4C28"/>
    <w:rsid w:val="007A7214"/>
    <w:rsid w:val="007A789A"/>
    <w:rsid w:val="007B0384"/>
    <w:rsid w:val="007B31E4"/>
    <w:rsid w:val="007B3491"/>
    <w:rsid w:val="007B3775"/>
    <w:rsid w:val="007B5DB2"/>
    <w:rsid w:val="007C19F9"/>
    <w:rsid w:val="007C4779"/>
    <w:rsid w:val="007C4ED2"/>
    <w:rsid w:val="007C511F"/>
    <w:rsid w:val="007C67FC"/>
    <w:rsid w:val="007C6925"/>
    <w:rsid w:val="007C7BA7"/>
    <w:rsid w:val="007C7F0C"/>
    <w:rsid w:val="007D08BE"/>
    <w:rsid w:val="007D1AD0"/>
    <w:rsid w:val="007D2824"/>
    <w:rsid w:val="007D2FAD"/>
    <w:rsid w:val="007D3328"/>
    <w:rsid w:val="007D3E1F"/>
    <w:rsid w:val="007D4252"/>
    <w:rsid w:val="007D5AAB"/>
    <w:rsid w:val="007D7242"/>
    <w:rsid w:val="007D7875"/>
    <w:rsid w:val="007D7BF7"/>
    <w:rsid w:val="007E1001"/>
    <w:rsid w:val="007E25F4"/>
    <w:rsid w:val="007E28F7"/>
    <w:rsid w:val="007E3F9E"/>
    <w:rsid w:val="007E43EA"/>
    <w:rsid w:val="007E4EAF"/>
    <w:rsid w:val="007E50FF"/>
    <w:rsid w:val="007E5598"/>
    <w:rsid w:val="007E55F2"/>
    <w:rsid w:val="007E5A8E"/>
    <w:rsid w:val="007E5B41"/>
    <w:rsid w:val="007E6400"/>
    <w:rsid w:val="007E6DC9"/>
    <w:rsid w:val="007E7D10"/>
    <w:rsid w:val="007F0929"/>
    <w:rsid w:val="007F20F0"/>
    <w:rsid w:val="007F2287"/>
    <w:rsid w:val="007F296B"/>
    <w:rsid w:val="007F36D6"/>
    <w:rsid w:val="007F4222"/>
    <w:rsid w:val="007F4456"/>
    <w:rsid w:val="007F480A"/>
    <w:rsid w:val="007F4C52"/>
    <w:rsid w:val="007F51DD"/>
    <w:rsid w:val="007F693C"/>
    <w:rsid w:val="007F6B94"/>
    <w:rsid w:val="007F7748"/>
    <w:rsid w:val="007F7DA5"/>
    <w:rsid w:val="00800617"/>
    <w:rsid w:val="00801289"/>
    <w:rsid w:val="00801671"/>
    <w:rsid w:val="0080315E"/>
    <w:rsid w:val="008034F8"/>
    <w:rsid w:val="00803620"/>
    <w:rsid w:val="0080394D"/>
    <w:rsid w:val="00803958"/>
    <w:rsid w:val="00804B3E"/>
    <w:rsid w:val="00805128"/>
    <w:rsid w:val="00805817"/>
    <w:rsid w:val="0080678F"/>
    <w:rsid w:val="00807471"/>
    <w:rsid w:val="00807870"/>
    <w:rsid w:val="00807B96"/>
    <w:rsid w:val="008102D7"/>
    <w:rsid w:val="0081070C"/>
    <w:rsid w:val="008128E6"/>
    <w:rsid w:val="008155A0"/>
    <w:rsid w:val="008163F2"/>
    <w:rsid w:val="0081681E"/>
    <w:rsid w:val="00816B7F"/>
    <w:rsid w:val="00817A07"/>
    <w:rsid w:val="00817F53"/>
    <w:rsid w:val="00821D4D"/>
    <w:rsid w:val="00823368"/>
    <w:rsid w:val="0082349E"/>
    <w:rsid w:val="00823D19"/>
    <w:rsid w:val="00825262"/>
    <w:rsid w:val="008256CF"/>
    <w:rsid w:val="00825C04"/>
    <w:rsid w:val="0082648C"/>
    <w:rsid w:val="008265B1"/>
    <w:rsid w:val="00826A32"/>
    <w:rsid w:val="00827640"/>
    <w:rsid w:val="00830851"/>
    <w:rsid w:val="00830F8E"/>
    <w:rsid w:val="008313E5"/>
    <w:rsid w:val="008319A8"/>
    <w:rsid w:val="0083396D"/>
    <w:rsid w:val="00835432"/>
    <w:rsid w:val="008356B0"/>
    <w:rsid w:val="00836090"/>
    <w:rsid w:val="00836802"/>
    <w:rsid w:val="00836C2B"/>
    <w:rsid w:val="00836D95"/>
    <w:rsid w:val="008415E5"/>
    <w:rsid w:val="008420C9"/>
    <w:rsid w:val="00842121"/>
    <w:rsid w:val="00842625"/>
    <w:rsid w:val="00843DBC"/>
    <w:rsid w:val="008447EF"/>
    <w:rsid w:val="008465C6"/>
    <w:rsid w:val="0084687E"/>
    <w:rsid w:val="00846C83"/>
    <w:rsid w:val="008473C7"/>
    <w:rsid w:val="00847A36"/>
    <w:rsid w:val="008509AA"/>
    <w:rsid w:val="008509B2"/>
    <w:rsid w:val="00851982"/>
    <w:rsid w:val="00851C3E"/>
    <w:rsid w:val="00852AFC"/>
    <w:rsid w:val="00852E1C"/>
    <w:rsid w:val="008533A5"/>
    <w:rsid w:val="00853855"/>
    <w:rsid w:val="00853E01"/>
    <w:rsid w:val="008541E8"/>
    <w:rsid w:val="00855F56"/>
    <w:rsid w:val="008563CE"/>
    <w:rsid w:val="0085758E"/>
    <w:rsid w:val="008607C3"/>
    <w:rsid w:val="0086097C"/>
    <w:rsid w:val="00861074"/>
    <w:rsid w:val="008611D5"/>
    <w:rsid w:val="008611E7"/>
    <w:rsid w:val="00861754"/>
    <w:rsid w:val="00861992"/>
    <w:rsid w:val="00861C37"/>
    <w:rsid w:val="00862BE2"/>
    <w:rsid w:val="00863B73"/>
    <w:rsid w:val="00864D8E"/>
    <w:rsid w:val="00866563"/>
    <w:rsid w:val="00866E2F"/>
    <w:rsid w:val="00867AB7"/>
    <w:rsid w:val="00867FDB"/>
    <w:rsid w:val="00871C83"/>
    <w:rsid w:val="008726BA"/>
    <w:rsid w:val="00872AFC"/>
    <w:rsid w:val="00872DCA"/>
    <w:rsid w:val="00873D7E"/>
    <w:rsid w:val="00873ED5"/>
    <w:rsid w:val="008747D8"/>
    <w:rsid w:val="00875678"/>
    <w:rsid w:val="00875D13"/>
    <w:rsid w:val="00876444"/>
    <w:rsid w:val="008765A3"/>
    <w:rsid w:val="00876BFB"/>
    <w:rsid w:val="00880223"/>
    <w:rsid w:val="0088273A"/>
    <w:rsid w:val="0088285C"/>
    <w:rsid w:val="00883868"/>
    <w:rsid w:val="0088396B"/>
    <w:rsid w:val="0088414A"/>
    <w:rsid w:val="00884311"/>
    <w:rsid w:val="00884830"/>
    <w:rsid w:val="00884AE7"/>
    <w:rsid w:val="008855D1"/>
    <w:rsid w:val="00885DA7"/>
    <w:rsid w:val="00886468"/>
    <w:rsid w:val="00887204"/>
    <w:rsid w:val="00887B04"/>
    <w:rsid w:val="008903D8"/>
    <w:rsid w:val="0089046C"/>
    <w:rsid w:val="008907D1"/>
    <w:rsid w:val="00891585"/>
    <w:rsid w:val="00891985"/>
    <w:rsid w:val="00891C64"/>
    <w:rsid w:val="00891FF6"/>
    <w:rsid w:val="00892587"/>
    <w:rsid w:val="00892A8E"/>
    <w:rsid w:val="0089353F"/>
    <w:rsid w:val="00893AFF"/>
    <w:rsid w:val="008943CE"/>
    <w:rsid w:val="00894427"/>
    <w:rsid w:val="00895578"/>
    <w:rsid w:val="008969DB"/>
    <w:rsid w:val="00897376"/>
    <w:rsid w:val="008976B9"/>
    <w:rsid w:val="00897DD7"/>
    <w:rsid w:val="008A08D4"/>
    <w:rsid w:val="008A1ECA"/>
    <w:rsid w:val="008A45CC"/>
    <w:rsid w:val="008A527E"/>
    <w:rsid w:val="008A5A6A"/>
    <w:rsid w:val="008A5C42"/>
    <w:rsid w:val="008A5D94"/>
    <w:rsid w:val="008A705C"/>
    <w:rsid w:val="008B08CA"/>
    <w:rsid w:val="008B1EE4"/>
    <w:rsid w:val="008B1F8A"/>
    <w:rsid w:val="008B2060"/>
    <w:rsid w:val="008B275F"/>
    <w:rsid w:val="008B31CC"/>
    <w:rsid w:val="008B51E5"/>
    <w:rsid w:val="008B5421"/>
    <w:rsid w:val="008B5925"/>
    <w:rsid w:val="008B7CCF"/>
    <w:rsid w:val="008B7F32"/>
    <w:rsid w:val="008C1E9B"/>
    <w:rsid w:val="008C2CCA"/>
    <w:rsid w:val="008C3275"/>
    <w:rsid w:val="008C455C"/>
    <w:rsid w:val="008C4F96"/>
    <w:rsid w:val="008C5BC2"/>
    <w:rsid w:val="008C7A0F"/>
    <w:rsid w:val="008D1328"/>
    <w:rsid w:val="008D3954"/>
    <w:rsid w:val="008D3CE4"/>
    <w:rsid w:val="008D45CF"/>
    <w:rsid w:val="008D4879"/>
    <w:rsid w:val="008D5C0E"/>
    <w:rsid w:val="008D7341"/>
    <w:rsid w:val="008D7815"/>
    <w:rsid w:val="008D7A90"/>
    <w:rsid w:val="008E128C"/>
    <w:rsid w:val="008E1A6F"/>
    <w:rsid w:val="008E1B02"/>
    <w:rsid w:val="008E1B1E"/>
    <w:rsid w:val="008E1B2D"/>
    <w:rsid w:val="008E2B32"/>
    <w:rsid w:val="008E355E"/>
    <w:rsid w:val="008E4FD5"/>
    <w:rsid w:val="008E5967"/>
    <w:rsid w:val="008E5DF5"/>
    <w:rsid w:val="008E60CE"/>
    <w:rsid w:val="008E6354"/>
    <w:rsid w:val="008E69DC"/>
    <w:rsid w:val="008E70D7"/>
    <w:rsid w:val="008E7112"/>
    <w:rsid w:val="008E7851"/>
    <w:rsid w:val="008E7897"/>
    <w:rsid w:val="008E7951"/>
    <w:rsid w:val="008E7E84"/>
    <w:rsid w:val="008F00FE"/>
    <w:rsid w:val="008F04C3"/>
    <w:rsid w:val="008F06AF"/>
    <w:rsid w:val="008F093A"/>
    <w:rsid w:val="008F2B54"/>
    <w:rsid w:val="008F3CAA"/>
    <w:rsid w:val="008F3E20"/>
    <w:rsid w:val="008F430C"/>
    <w:rsid w:val="008F490A"/>
    <w:rsid w:val="008F4E37"/>
    <w:rsid w:val="008F4E39"/>
    <w:rsid w:val="008F5506"/>
    <w:rsid w:val="008F5B06"/>
    <w:rsid w:val="008F7C4E"/>
    <w:rsid w:val="00900D8F"/>
    <w:rsid w:val="0090103E"/>
    <w:rsid w:val="009010AE"/>
    <w:rsid w:val="00901854"/>
    <w:rsid w:val="00902052"/>
    <w:rsid w:val="0090351D"/>
    <w:rsid w:val="009059C9"/>
    <w:rsid w:val="00905F1E"/>
    <w:rsid w:val="009067DB"/>
    <w:rsid w:val="00906F58"/>
    <w:rsid w:val="00910F44"/>
    <w:rsid w:val="009110B7"/>
    <w:rsid w:val="009132C8"/>
    <w:rsid w:val="0091362F"/>
    <w:rsid w:val="00914411"/>
    <w:rsid w:val="0091549B"/>
    <w:rsid w:val="0091600B"/>
    <w:rsid w:val="0091636A"/>
    <w:rsid w:val="00916707"/>
    <w:rsid w:val="00916DC5"/>
    <w:rsid w:val="009173FD"/>
    <w:rsid w:val="009201A7"/>
    <w:rsid w:val="0092108B"/>
    <w:rsid w:val="0092289A"/>
    <w:rsid w:val="00924566"/>
    <w:rsid w:val="009245DB"/>
    <w:rsid w:val="00924770"/>
    <w:rsid w:val="00924DB6"/>
    <w:rsid w:val="00924F18"/>
    <w:rsid w:val="00925781"/>
    <w:rsid w:val="0092617D"/>
    <w:rsid w:val="00926B47"/>
    <w:rsid w:val="00926D8E"/>
    <w:rsid w:val="00927A57"/>
    <w:rsid w:val="00930818"/>
    <w:rsid w:val="00930F58"/>
    <w:rsid w:val="00930F75"/>
    <w:rsid w:val="009332E9"/>
    <w:rsid w:val="009338DF"/>
    <w:rsid w:val="00933F30"/>
    <w:rsid w:val="00934486"/>
    <w:rsid w:val="00934CA2"/>
    <w:rsid w:val="00934DD7"/>
    <w:rsid w:val="009357C7"/>
    <w:rsid w:val="009365E0"/>
    <w:rsid w:val="00936D3C"/>
    <w:rsid w:val="00936EC7"/>
    <w:rsid w:val="009405DA"/>
    <w:rsid w:val="00941C9C"/>
    <w:rsid w:val="00942C5A"/>
    <w:rsid w:val="00942E12"/>
    <w:rsid w:val="009445E5"/>
    <w:rsid w:val="00944C00"/>
    <w:rsid w:val="00944D76"/>
    <w:rsid w:val="00945827"/>
    <w:rsid w:val="00945B9F"/>
    <w:rsid w:val="00945FB5"/>
    <w:rsid w:val="009467BA"/>
    <w:rsid w:val="00947C4F"/>
    <w:rsid w:val="009502BD"/>
    <w:rsid w:val="0095043D"/>
    <w:rsid w:val="0095122A"/>
    <w:rsid w:val="00951247"/>
    <w:rsid w:val="00951BEA"/>
    <w:rsid w:val="00952AD5"/>
    <w:rsid w:val="0095355E"/>
    <w:rsid w:val="00953701"/>
    <w:rsid w:val="009538C9"/>
    <w:rsid w:val="0095494A"/>
    <w:rsid w:val="0095521E"/>
    <w:rsid w:val="00955396"/>
    <w:rsid w:val="00955C94"/>
    <w:rsid w:val="00957398"/>
    <w:rsid w:val="00957512"/>
    <w:rsid w:val="009577C5"/>
    <w:rsid w:val="0096052A"/>
    <w:rsid w:val="00961039"/>
    <w:rsid w:val="0096151A"/>
    <w:rsid w:val="009624F2"/>
    <w:rsid w:val="0096252F"/>
    <w:rsid w:val="00962D53"/>
    <w:rsid w:val="009636DF"/>
    <w:rsid w:val="00964301"/>
    <w:rsid w:val="0096443C"/>
    <w:rsid w:val="00964CCC"/>
    <w:rsid w:val="0096523D"/>
    <w:rsid w:val="009654DA"/>
    <w:rsid w:val="00967440"/>
    <w:rsid w:val="00970130"/>
    <w:rsid w:val="00970FB0"/>
    <w:rsid w:val="00972C81"/>
    <w:rsid w:val="00973B7E"/>
    <w:rsid w:val="00974E03"/>
    <w:rsid w:val="00974E54"/>
    <w:rsid w:val="0097553E"/>
    <w:rsid w:val="00976E76"/>
    <w:rsid w:val="0097723A"/>
    <w:rsid w:val="00980299"/>
    <w:rsid w:val="009808C2"/>
    <w:rsid w:val="00981169"/>
    <w:rsid w:val="009814EF"/>
    <w:rsid w:val="009819AE"/>
    <w:rsid w:val="00981A08"/>
    <w:rsid w:val="00983598"/>
    <w:rsid w:val="0098491C"/>
    <w:rsid w:val="00984C51"/>
    <w:rsid w:val="00984D60"/>
    <w:rsid w:val="00985B56"/>
    <w:rsid w:val="009860FB"/>
    <w:rsid w:val="00986405"/>
    <w:rsid w:val="009870FA"/>
    <w:rsid w:val="0099161D"/>
    <w:rsid w:val="00991AF5"/>
    <w:rsid w:val="009923A7"/>
    <w:rsid w:val="00992EB7"/>
    <w:rsid w:val="009934AF"/>
    <w:rsid w:val="00993539"/>
    <w:rsid w:val="00993ABC"/>
    <w:rsid w:val="00995AF2"/>
    <w:rsid w:val="00996632"/>
    <w:rsid w:val="009A114E"/>
    <w:rsid w:val="009A174F"/>
    <w:rsid w:val="009A2060"/>
    <w:rsid w:val="009A21BA"/>
    <w:rsid w:val="009A23D1"/>
    <w:rsid w:val="009A372F"/>
    <w:rsid w:val="009A43F8"/>
    <w:rsid w:val="009A44DC"/>
    <w:rsid w:val="009A6256"/>
    <w:rsid w:val="009A6D72"/>
    <w:rsid w:val="009A7274"/>
    <w:rsid w:val="009A73AA"/>
    <w:rsid w:val="009A73CF"/>
    <w:rsid w:val="009A7D44"/>
    <w:rsid w:val="009B07EF"/>
    <w:rsid w:val="009B1288"/>
    <w:rsid w:val="009B1325"/>
    <w:rsid w:val="009B2208"/>
    <w:rsid w:val="009B2462"/>
    <w:rsid w:val="009B2595"/>
    <w:rsid w:val="009B29D7"/>
    <w:rsid w:val="009B3684"/>
    <w:rsid w:val="009B40A1"/>
    <w:rsid w:val="009B4327"/>
    <w:rsid w:val="009B57C9"/>
    <w:rsid w:val="009B5823"/>
    <w:rsid w:val="009B58E1"/>
    <w:rsid w:val="009B60F6"/>
    <w:rsid w:val="009B642F"/>
    <w:rsid w:val="009B6839"/>
    <w:rsid w:val="009B7126"/>
    <w:rsid w:val="009C0080"/>
    <w:rsid w:val="009C0B51"/>
    <w:rsid w:val="009C1C59"/>
    <w:rsid w:val="009C31B4"/>
    <w:rsid w:val="009C3818"/>
    <w:rsid w:val="009C39E6"/>
    <w:rsid w:val="009C3D6A"/>
    <w:rsid w:val="009C4577"/>
    <w:rsid w:val="009C5D3B"/>
    <w:rsid w:val="009C705D"/>
    <w:rsid w:val="009C70E2"/>
    <w:rsid w:val="009C7363"/>
    <w:rsid w:val="009D0787"/>
    <w:rsid w:val="009D0E44"/>
    <w:rsid w:val="009D1BDE"/>
    <w:rsid w:val="009D242E"/>
    <w:rsid w:val="009D26EA"/>
    <w:rsid w:val="009D2DB6"/>
    <w:rsid w:val="009D32B0"/>
    <w:rsid w:val="009D635C"/>
    <w:rsid w:val="009D7613"/>
    <w:rsid w:val="009D76E0"/>
    <w:rsid w:val="009D7D02"/>
    <w:rsid w:val="009D7FEC"/>
    <w:rsid w:val="009E0661"/>
    <w:rsid w:val="009E15BB"/>
    <w:rsid w:val="009E171D"/>
    <w:rsid w:val="009E1A42"/>
    <w:rsid w:val="009E1AB6"/>
    <w:rsid w:val="009E3643"/>
    <w:rsid w:val="009E3734"/>
    <w:rsid w:val="009E3DCB"/>
    <w:rsid w:val="009E52DE"/>
    <w:rsid w:val="009F0A50"/>
    <w:rsid w:val="009F241D"/>
    <w:rsid w:val="009F2ACA"/>
    <w:rsid w:val="009F4E28"/>
    <w:rsid w:val="009F58CC"/>
    <w:rsid w:val="009F58EB"/>
    <w:rsid w:val="009F5E64"/>
    <w:rsid w:val="009F6961"/>
    <w:rsid w:val="009F6C3A"/>
    <w:rsid w:val="009F7243"/>
    <w:rsid w:val="009F78CF"/>
    <w:rsid w:val="009F7BFC"/>
    <w:rsid w:val="00A000EA"/>
    <w:rsid w:val="00A00111"/>
    <w:rsid w:val="00A00621"/>
    <w:rsid w:val="00A00A7F"/>
    <w:rsid w:val="00A01A24"/>
    <w:rsid w:val="00A01DD2"/>
    <w:rsid w:val="00A02089"/>
    <w:rsid w:val="00A0289E"/>
    <w:rsid w:val="00A0369A"/>
    <w:rsid w:val="00A03951"/>
    <w:rsid w:val="00A052F8"/>
    <w:rsid w:val="00A062FD"/>
    <w:rsid w:val="00A06E0F"/>
    <w:rsid w:val="00A07282"/>
    <w:rsid w:val="00A10197"/>
    <w:rsid w:val="00A103BC"/>
    <w:rsid w:val="00A1049D"/>
    <w:rsid w:val="00A10B5F"/>
    <w:rsid w:val="00A125A9"/>
    <w:rsid w:val="00A12D36"/>
    <w:rsid w:val="00A133DD"/>
    <w:rsid w:val="00A134D1"/>
    <w:rsid w:val="00A13FEE"/>
    <w:rsid w:val="00A14C39"/>
    <w:rsid w:val="00A155CB"/>
    <w:rsid w:val="00A202F9"/>
    <w:rsid w:val="00A202FD"/>
    <w:rsid w:val="00A21E75"/>
    <w:rsid w:val="00A2285F"/>
    <w:rsid w:val="00A22AE7"/>
    <w:rsid w:val="00A238D7"/>
    <w:rsid w:val="00A23911"/>
    <w:rsid w:val="00A23D42"/>
    <w:rsid w:val="00A24224"/>
    <w:rsid w:val="00A24698"/>
    <w:rsid w:val="00A255D9"/>
    <w:rsid w:val="00A270ED"/>
    <w:rsid w:val="00A272C4"/>
    <w:rsid w:val="00A2785D"/>
    <w:rsid w:val="00A279B0"/>
    <w:rsid w:val="00A31F37"/>
    <w:rsid w:val="00A3257A"/>
    <w:rsid w:val="00A32882"/>
    <w:rsid w:val="00A35C83"/>
    <w:rsid w:val="00A36331"/>
    <w:rsid w:val="00A363EE"/>
    <w:rsid w:val="00A3641A"/>
    <w:rsid w:val="00A36AC4"/>
    <w:rsid w:val="00A36BA4"/>
    <w:rsid w:val="00A370E7"/>
    <w:rsid w:val="00A417D7"/>
    <w:rsid w:val="00A41F1D"/>
    <w:rsid w:val="00A42128"/>
    <w:rsid w:val="00A42857"/>
    <w:rsid w:val="00A43BCF"/>
    <w:rsid w:val="00A4452F"/>
    <w:rsid w:val="00A44BDE"/>
    <w:rsid w:val="00A44F03"/>
    <w:rsid w:val="00A46455"/>
    <w:rsid w:val="00A518C4"/>
    <w:rsid w:val="00A51BA9"/>
    <w:rsid w:val="00A51DE6"/>
    <w:rsid w:val="00A51E5D"/>
    <w:rsid w:val="00A52488"/>
    <w:rsid w:val="00A52C4A"/>
    <w:rsid w:val="00A5331A"/>
    <w:rsid w:val="00A54204"/>
    <w:rsid w:val="00A55230"/>
    <w:rsid w:val="00A56017"/>
    <w:rsid w:val="00A56A0F"/>
    <w:rsid w:val="00A56D5E"/>
    <w:rsid w:val="00A601AC"/>
    <w:rsid w:val="00A607E4"/>
    <w:rsid w:val="00A60A38"/>
    <w:rsid w:val="00A60FBE"/>
    <w:rsid w:val="00A610DE"/>
    <w:rsid w:val="00A615AB"/>
    <w:rsid w:val="00A615F9"/>
    <w:rsid w:val="00A6221D"/>
    <w:rsid w:val="00A62863"/>
    <w:rsid w:val="00A62BD3"/>
    <w:rsid w:val="00A62D99"/>
    <w:rsid w:val="00A63D4B"/>
    <w:rsid w:val="00A64822"/>
    <w:rsid w:val="00A64C3E"/>
    <w:rsid w:val="00A65D73"/>
    <w:rsid w:val="00A66256"/>
    <w:rsid w:val="00A664B4"/>
    <w:rsid w:val="00A66817"/>
    <w:rsid w:val="00A6693E"/>
    <w:rsid w:val="00A66A26"/>
    <w:rsid w:val="00A67745"/>
    <w:rsid w:val="00A70502"/>
    <w:rsid w:val="00A71010"/>
    <w:rsid w:val="00A7138C"/>
    <w:rsid w:val="00A71A4B"/>
    <w:rsid w:val="00A72A6D"/>
    <w:rsid w:val="00A741EE"/>
    <w:rsid w:val="00A75EF6"/>
    <w:rsid w:val="00A76A15"/>
    <w:rsid w:val="00A76F43"/>
    <w:rsid w:val="00A77220"/>
    <w:rsid w:val="00A77245"/>
    <w:rsid w:val="00A77FE7"/>
    <w:rsid w:val="00A80193"/>
    <w:rsid w:val="00A80993"/>
    <w:rsid w:val="00A81271"/>
    <w:rsid w:val="00A81F8C"/>
    <w:rsid w:val="00A828E5"/>
    <w:rsid w:val="00A829F5"/>
    <w:rsid w:val="00A82D55"/>
    <w:rsid w:val="00A833E7"/>
    <w:rsid w:val="00A83EC9"/>
    <w:rsid w:val="00A84453"/>
    <w:rsid w:val="00A84827"/>
    <w:rsid w:val="00A850CF"/>
    <w:rsid w:val="00A85F67"/>
    <w:rsid w:val="00A90671"/>
    <w:rsid w:val="00A9084F"/>
    <w:rsid w:val="00A90926"/>
    <w:rsid w:val="00A90EE2"/>
    <w:rsid w:val="00A93BD7"/>
    <w:rsid w:val="00A950A2"/>
    <w:rsid w:val="00A96F02"/>
    <w:rsid w:val="00A971A5"/>
    <w:rsid w:val="00A97DBD"/>
    <w:rsid w:val="00AA05BE"/>
    <w:rsid w:val="00AA0F45"/>
    <w:rsid w:val="00AA15FF"/>
    <w:rsid w:val="00AA1642"/>
    <w:rsid w:val="00AA16F2"/>
    <w:rsid w:val="00AA1F56"/>
    <w:rsid w:val="00AA331E"/>
    <w:rsid w:val="00AA3BE0"/>
    <w:rsid w:val="00AA4351"/>
    <w:rsid w:val="00AA4BC3"/>
    <w:rsid w:val="00AA5B19"/>
    <w:rsid w:val="00AA681F"/>
    <w:rsid w:val="00AA68B1"/>
    <w:rsid w:val="00AA7A8E"/>
    <w:rsid w:val="00AA7AEF"/>
    <w:rsid w:val="00AB09A1"/>
    <w:rsid w:val="00AB2CEC"/>
    <w:rsid w:val="00AB2E8B"/>
    <w:rsid w:val="00AB3896"/>
    <w:rsid w:val="00AB66FC"/>
    <w:rsid w:val="00AB6DC4"/>
    <w:rsid w:val="00AB738E"/>
    <w:rsid w:val="00AC1137"/>
    <w:rsid w:val="00AC26F5"/>
    <w:rsid w:val="00AC2B2B"/>
    <w:rsid w:val="00AC4C61"/>
    <w:rsid w:val="00AC50CB"/>
    <w:rsid w:val="00AC5EFA"/>
    <w:rsid w:val="00AC63DF"/>
    <w:rsid w:val="00AC6C9C"/>
    <w:rsid w:val="00AC6E21"/>
    <w:rsid w:val="00AC744E"/>
    <w:rsid w:val="00AD00AD"/>
    <w:rsid w:val="00AD0328"/>
    <w:rsid w:val="00AD0AF4"/>
    <w:rsid w:val="00AD11B4"/>
    <w:rsid w:val="00AD1A7E"/>
    <w:rsid w:val="00AD1CDD"/>
    <w:rsid w:val="00AD39C8"/>
    <w:rsid w:val="00AD5E77"/>
    <w:rsid w:val="00AD6456"/>
    <w:rsid w:val="00AD6AC4"/>
    <w:rsid w:val="00AD6D7A"/>
    <w:rsid w:val="00AD6E60"/>
    <w:rsid w:val="00AD71BA"/>
    <w:rsid w:val="00AD76EF"/>
    <w:rsid w:val="00AE19CC"/>
    <w:rsid w:val="00AE257E"/>
    <w:rsid w:val="00AE28A2"/>
    <w:rsid w:val="00AE2E44"/>
    <w:rsid w:val="00AE3341"/>
    <w:rsid w:val="00AE3514"/>
    <w:rsid w:val="00AE352A"/>
    <w:rsid w:val="00AE4C40"/>
    <w:rsid w:val="00AE540E"/>
    <w:rsid w:val="00AE6634"/>
    <w:rsid w:val="00AE690C"/>
    <w:rsid w:val="00AE6CEB"/>
    <w:rsid w:val="00AE7915"/>
    <w:rsid w:val="00AE7A22"/>
    <w:rsid w:val="00AE7E15"/>
    <w:rsid w:val="00AF0401"/>
    <w:rsid w:val="00AF115A"/>
    <w:rsid w:val="00AF19E8"/>
    <w:rsid w:val="00AF4094"/>
    <w:rsid w:val="00AF548B"/>
    <w:rsid w:val="00AF549E"/>
    <w:rsid w:val="00AF6BAD"/>
    <w:rsid w:val="00AF7032"/>
    <w:rsid w:val="00AF74AF"/>
    <w:rsid w:val="00AF7689"/>
    <w:rsid w:val="00AF7843"/>
    <w:rsid w:val="00B001A3"/>
    <w:rsid w:val="00B006BC"/>
    <w:rsid w:val="00B01953"/>
    <w:rsid w:val="00B02C78"/>
    <w:rsid w:val="00B02F30"/>
    <w:rsid w:val="00B034E1"/>
    <w:rsid w:val="00B0373A"/>
    <w:rsid w:val="00B03D48"/>
    <w:rsid w:val="00B03ECB"/>
    <w:rsid w:val="00B059C5"/>
    <w:rsid w:val="00B05B36"/>
    <w:rsid w:val="00B05EA4"/>
    <w:rsid w:val="00B0617F"/>
    <w:rsid w:val="00B067D9"/>
    <w:rsid w:val="00B06E71"/>
    <w:rsid w:val="00B077D2"/>
    <w:rsid w:val="00B07DE1"/>
    <w:rsid w:val="00B10608"/>
    <w:rsid w:val="00B10AFA"/>
    <w:rsid w:val="00B10B73"/>
    <w:rsid w:val="00B10D16"/>
    <w:rsid w:val="00B12A3C"/>
    <w:rsid w:val="00B13F0C"/>
    <w:rsid w:val="00B14B2A"/>
    <w:rsid w:val="00B14F95"/>
    <w:rsid w:val="00B15755"/>
    <w:rsid w:val="00B1611A"/>
    <w:rsid w:val="00B16AF2"/>
    <w:rsid w:val="00B20A2E"/>
    <w:rsid w:val="00B22204"/>
    <w:rsid w:val="00B22EDC"/>
    <w:rsid w:val="00B2315A"/>
    <w:rsid w:val="00B23884"/>
    <w:rsid w:val="00B24556"/>
    <w:rsid w:val="00B2553E"/>
    <w:rsid w:val="00B26D20"/>
    <w:rsid w:val="00B27534"/>
    <w:rsid w:val="00B27C2E"/>
    <w:rsid w:val="00B31518"/>
    <w:rsid w:val="00B31E4D"/>
    <w:rsid w:val="00B3231B"/>
    <w:rsid w:val="00B32C3B"/>
    <w:rsid w:val="00B33251"/>
    <w:rsid w:val="00B348A4"/>
    <w:rsid w:val="00B348A5"/>
    <w:rsid w:val="00B34A14"/>
    <w:rsid w:val="00B3541C"/>
    <w:rsid w:val="00B35430"/>
    <w:rsid w:val="00B3582B"/>
    <w:rsid w:val="00B3730F"/>
    <w:rsid w:val="00B37627"/>
    <w:rsid w:val="00B37BD0"/>
    <w:rsid w:val="00B40746"/>
    <w:rsid w:val="00B4111B"/>
    <w:rsid w:val="00B41600"/>
    <w:rsid w:val="00B421F0"/>
    <w:rsid w:val="00B42342"/>
    <w:rsid w:val="00B4297D"/>
    <w:rsid w:val="00B429BA"/>
    <w:rsid w:val="00B43558"/>
    <w:rsid w:val="00B43584"/>
    <w:rsid w:val="00B436BA"/>
    <w:rsid w:val="00B4543A"/>
    <w:rsid w:val="00B45E97"/>
    <w:rsid w:val="00B45FC9"/>
    <w:rsid w:val="00B466ED"/>
    <w:rsid w:val="00B472FD"/>
    <w:rsid w:val="00B47F9F"/>
    <w:rsid w:val="00B50027"/>
    <w:rsid w:val="00B50B5F"/>
    <w:rsid w:val="00B5119A"/>
    <w:rsid w:val="00B520FD"/>
    <w:rsid w:val="00B52B33"/>
    <w:rsid w:val="00B534A6"/>
    <w:rsid w:val="00B54D0E"/>
    <w:rsid w:val="00B56BEA"/>
    <w:rsid w:val="00B56BFD"/>
    <w:rsid w:val="00B57A01"/>
    <w:rsid w:val="00B62201"/>
    <w:rsid w:val="00B63CB0"/>
    <w:rsid w:val="00B63E34"/>
    <w:rsid w:val="00B642BD"/>
    <w:rsid w:val="00B651B7"/>
    <w:rsid w:val="00B65B19"/>
    <w:rsid w:val="00B66B9A"/>
    <w:rsid w:val="00B66F55"/>
    <w:rsid w:val="00B671E4"/>
    <w:rsid w:val="00B6782C"/>
    <w:rsid w:val="00B71B99"/>
    <w:rsid w:val="00B71E68"/>
    <w:rsid w:val="00B74F97"/>
    <w:rsid w:val="00B75FD0"/>
    <w:rsid w:val="00B7770A"/>
    <w:rsid w:val="00B779DB"/>
    <w:rsid w:val="00B81307"/>
    <w:rsid w:val="00B820E7"/>
    <w:rsid w:val="00B8337E"/>
    <w:rsid w:val="00B842E0"/>
    <w:rsid w:val="00B8522C"/>
    <w:rsid w:val="00B85727"/>
    <w:rsid w:val="00B85884"/>
    <w:rsid w:val="00B8592D"/>
    <w:rsid w:val="00B85B26"/>
    <w:rsid w:val="00B8633D"/>
    <w:rsid w:val="00B86C11"/>
    <w:rsid w:val="00B86D0A"/>
    <w:rsid w:val="00B878EC"/>
    <w:rsid w:val="00B9063E"/>
    <w:rsid w:val="00B91185"/>
    <w:rsid w:val="00B911B0"/>
    <w:rsid w:val="00B91C1A"/>
    <w:rsid w:val="00B92E35"/>
    <w:rsid w:val="00B930E5"/>
    <w:rsid w:val="00B9313B"/>
    <w:rsid w:val="00B9349D"/>
    <w:rsid w:val="00B94476"/>
    <w:rsid w:val="00B94916"/>
    <w:rsid w:val="00B94CFA"/>
    <w:rsid w:val="00B94DD5"/>
    <w:rsid w:val="00B9579C"/>
    <w:rsid w:val="00B963C8"/>
    <w:rsid w:val="00B96B68"/>
    <w:rsid w:val="00B96B8B"/>
    <w:rsid w:val="00B97279"/>
    <w:rsid w:val="00B97375"/>
    <w:rsid w:val="00B975AE"/>
    <w:rsid w:val="00B97842"/>
    <w:rsid w:val="00BA0FD5"/>
    <w:rsid w:val="00BA193E"/>
    <w:rsid w:val="00BA28BF"/>
    <w:rsid w:val="00BA2D21"/>
    <w:rsid w:val="00BA2D4E"/>
    <w:rsid w:val="00BA33DE"/>
    <w:rsid w:val="00BA35C8"/>
    <w:rsid w:val="00BA4956"/>
    <w:rsid w:val="00BA4B40"/>
    <w:rsid w:val="00BA5546"/>
    <w:rsid w:val="00BA7029"/>
    <w:rsid w:val="00BA7E5A"/>
    <w:rsid w:val="00BB00C1"/>
    <w:rsid w:val="00BB03DE"/>
    <w:rsid w:val="00BB09CA"/>
    <w:rsid w:val="00BB0FF5"/>
    <w:rsid w:val="00BB117C"/>
    <w:rsid w:val="00BB1561"/>
    <w:rsid w:val="00BB2D64"/>
    <w:rsid w:val="00BB4948"/>
    <w:rsid w:val="00BB594C"/>
    <w:rsid w:val="00BB639A"/>
    <w:rsid w:val="00BB767F"/>
    <w:rsid w:val="00BC48FE"/>
    <w:rsid w:val="00BC4AD2"/>
    <w:rsid w:val="00BC4B32"/>
    <w:rsid w:val="00BC61AD"/>
    <w:rsid w:val="00BC7F8D"/>
    <w:rsid w:val="00BD0974"/>
    <w:rsid w:val="00BD1689"/>
    <w:rsid w:val="00BD1CF8"/>
    <w:rsid w:val="00BD1F21"/>
    <w:rsid w:val="00BD3129"/>
    <w:rsid w:val="00BD3E7A"/>
    <w:rsid w:val="00BD3F6D"/>
    <w:rsid w:val="00BD45FF"/>
    <w:rsid w:val="00BD4FAB"/>
    <w:rsid w:val="00BD55C3"/>
    <w:rsid w:val="00BD5921"/>
    <w:rsid w:val="00BD59FB"/>
    <w:rsid w:val="00BD5C99"/>
    <w:rsid w:val="00BE08D3"/>
    <w:rsid w:val="00BE1444"/>
    <w:rsid w:val="00BE1517"/>
    <w:rsid w:val="00BE1776"/>
    <w:rsid w:val="00BE18AD"/>
    <w:rsid w:val="00BE22AA"/>
    <w:rsid w:val="00BE24C6"/>
    <w:rsid w:val="00BE28FD"/>
    <w:rsid w:val="00BE38D0"/>
    <w:rsid w:val="00BE425E"/>
    <w:rsid w:val="00BE5B6A"/>
    <w:rsid w:val="00BE626C"/>
    <w:rsid w:val="00BE64C7"/>
    <w:rsid w:val="00BE6719"/>
    <w:rsid w:val="00BE76F9"/>
    <w:rsid w:val="00BF002E"/>
    <w:rsid w:val="00BF0D53"/>
    <w:rsid w:val="00BF0DBC"/>
    <w:rsid w:val="00BF2013"/>
    <w:rsid w:val="00BF207A"/>
    <w:rsid w:val="00BF20B6"/>
    <w:rsid w:val="00BF30AF"/>
    <w:rsid w:val="00BF3A77"/>
    <w:rsid w:val="00BF4190"/>
    <w:rsid w:val="00BF45E7"/>
    <w:rsid w:val="00BF4DC3"/>
    <w:rsid w:val="00BF6402"/>
    <w:rsid w:val="00BF7C17"/>
    <w:rsid w:val="00BF7C74"/>
    <w:rsid w:val="00BF7FF0"/>
    <w:rsid w:val="00C01666"/>
    <w:rsid w:val="00C023D8"/>
    <w:rsid w:val="00C025BD"/>
    <w:rsid w:val="00C03329"/>
    <w:rsid w:val="00C03F61"/>
    <w:rsid w:val="00C04F05"/>
    <w:rsid w:val="00C0533B"/>
    <w:rsid w:val="00C06BC8"/>
    <w:rsid w:val="00C101DB"/>
    <w:rsid w:val="00C11FC7"/>
    <w:rsid w:val="00C126AF"/>
    <w:rsid w:val="00C1360F"/>
    <w:rsid w:val="00C13737"/>
    <w:rsid w:val="00C13EFE"/>
    <w:rsid w:val="00C14871"/>
    <w:rsid w:val="00C14991"/>
    <w:rsid w:val="00C14C90"/>
    <w:rsid w:val="00C14F1E"/>
    <w:rsid w:val="00C156AF"/>
    <w:rsid w:val="00C1700F"/>
    <w:rsid w:val="00C171A9"/>
    <w:rsid w:val="00C171DB"/>
    <w:rsid w:val="00C20988"/>
    <w:rsid w:val="00C20F24"/>
    <w:rsid w:val="00C2132A"/>
    <w:rsid w:val="00C21DF4"/>
    <w:rsid w:val="00C21E8C"/>
    <w:rsid w:val="00C23F70"/>
    <w:rsid w:val="00C24966"/>
    <w:rsid w:val="00C24AF7"/>
    <w:rsid w:val="00C24B39"/>
    <w:rsid w:val="00C258F2"/>
    <w:rsid w:val="00C265CC"/>
    <w:rsid w:val="00C3035F"/>
    <w:rsid w:val="00C30A37"/>
    <w:rsid w:val="00C3140A"/>
    <w:rsid w:val="00C31B5F"/>
    <w:rsid w:val="00C33278"/>
    <w:rsid w:val="00C33F0B"/>
    <w:rsid w:val="00C33FFA"/>
    <w:rsid w:val="00C34B2C"/>
    <w:rsid w:val="00C34C81"/>
    <w:rsid w:val="00C354EB"/>
    <w:rsid w:val="00C35AEB"/>
    <w:rsid w:val="00C37BB5"/>
    <w:rsid w:val="00C400BF"/>
    <w:rsid w:val="00C40242"/>
    <w:rsid w:val="00C405DF"/>
    <w:rsid w:val="00C408EC"/>
    <w:rsid w:val="00C4097E"/>
    <w:rsid w:val="00C4182A"/>
    <w:rsid w:val="00C41FBA"/>
    <w:rsid w:val="00C42DF5"/>
    <w:rsid w:val="00C447EF"/>
    <w:rsid w:val="00C45009"/>
    <w:rsid w:val="00C46476"/>
    <w:rsid w:val="00C46680"/>
    <w:rsid w:val="00C4689E"/>
    <w:rsid w:val="00C46B5D"/>
    <w:rsid w:val="00C4778B"/>
    <w:rsid w:val="00C50DC7"/>
    <w:rsid w:val="00C520CF"/>
    <w:rsid w:val="00C52C40"/>
    <w:rsid w:val="00C538B2"/>
    <w:rsid w:val="00C54CC5"/>
    <w:rsid w:val="00C565BB"/>
    <w:rsid w:val="00C56B9E"/>
    <w:rsid w:val="00C5717C"/>
    <w:rsid w:val="00C57F4E"/>
    <w:rsid w:val="00C61979"/>
    <w:rsid w:val="00C6199A"/>
    <w:rsid w:val="00C61DEF"/>
    <w:rsid w:val="00C61EFA"/>
    <w:rsid w:val="00C623D0"/>
    <w:rsid w:val="00C62556"/>
    <w:rsid w:val="00C626B5"/>
    <w:rsid w:val="00C6348E"/>
    <w:rsid w:val="00C66481"/>
    <w:rsid w:val="00C66942"/>
    <w:rsid w:val="00C66E4D"/>
    <w:rsid w:val="00C71AEC"/>
    <w:rsid w:val="00C7214E"/>
    <w:rsid w:val="00C72A10"/>
    <w:rsid w:val="00C73725"/>
    <w:rsid w:val="00C73C86"/>
    <w:rsid w:val="00C749D5"/>
    <w:rsid w:val="00C74ABA"/>
    <w:rsid w:val="00C760A9"/>
    <w:rsid w:val="00C76925"/>
    <w:rsid w:val="00C76D63"/>
    <w:rsid w:val="00C76F3C"/>
    <w:rsid w:val="00C81B7F"/>
    <w:rsid w:val="00C8207F"/>
    <w:rsid w:val="00C82351"/>
    <w:rsid w:val="00C82352"/>
    <w:rsid w:val="00C82A22"/>
    <w:rsid w:val="00C837D9"/>
    <w:rsid w:val="00C83883"/>
    <w:rsid w:val="00C848C9"/>
    <w:rsid w:val="00C84D75"/>
    <w:rsid w:val="00C84E22"/>
    <w:rsid w:val="00C85168"/>
    <w:rsid w:val="00C86334"/>
    <w:rsid w:val="00C86E82"/>
    <w:rsid w:val="00C871BB"/>
    <w:rsid w:val="00C8748F"/>
    <w:rsid w:val="00C879BB"/>
    <w:rsid w:val="00C87BB4"/>
    <w:rsid w:val="00C90BE7"/>
    <w:rsid w:val="00C916C4"/>
    <w:rsid w:val="00C91ECC"/>
    <w:rsid w:val="00C92FA7"/>
    <w:rsid w:val="00C9321C"/>
    <w:rsid w:val="00C93841"/>
    <w:rsid w:val="00C95A95"/>
    <w:rsid w:val="00C96147"/>
    <w:rsid w:val="00C96795"/>
    <w:rsid w:val="00C96BB1"/>
    <w:rsid w:val="00CA1443"/>
    <w:rsid w:val="00CA19A3"/>
    <w:rsid w:val="00CA263F"/>
    <w:rsid w:val="00CA2921"/>
    <w:rsid w:val="00CA2B13"/>
    <w:rsid w:val="00CA47E3"/>
    <w:rsid w:val="00CA4CBC"/>
    <w:rsid w:val="00CA4EEB"/>
    <w:rsid w:val="00CA64A8"/>
    <w:rsid w:val="00CA6B02"/>
    <w:rsid w:val="00CB0717"/>
    <w:rsid w:val="00CB0901"/>
    <w:rsid w:val="00CB0AE5"/>
    <w:rsid w:val="00CB14BF"/>
    <w:rsid w:val="00CB2339"/>
    <w:rsid w:val="00CB2389"/>
    <w:rsid w:val="00CB24F9"/>
    <w:rsid w:val="00CB2656"/>
    <w:rsid w:val="00CB2A33"/>
    <w:rsid w:val="00CB2F0E"/>
    <w:rsid w:val="00CB377E"/>
    <w:rsid w:val="00CB39A3"/>
    <w:rsid w:val="00CB4405"/>
    <w:rsid w:val="00CB49B0"/>
    <w:rsid w:val="00CB4A45"/>
    <w:rsid w:val="00CB5284"/>
    <w:rsid w:val="00CB565C"/>
    <w:rsid w:val="00CB57B1"/>
    <w:rsid w:val="00CB6654"/>
    <w:rsid w:val="00CB6D51"/>
    <w:rsid w:val="00CB7320"/>
    <w:rsid w:val="00CB7586"/>
    <w:rsid w:val="00CB7832"/>
    <w:rsid w:val="00CB7A67"/>
    <w:rsid w:val="00CC05E2"/>
    <w:rsid w:val="00CC06E3"/>
    <w:rsid w:val="00CC0ADE"/>
    <w:rsid w:val="00CC0E58"/>
    <w:rsid w:val="00CC173A"/>
    <w:rsid w:val="00CC1756"/>
    <w:rsid w:val="00CC19EE"/>
    <w:rsid w:val="00CC1B34"/>
    <w:rsid w:val="00CC3520"/>
    <w:rsid w:val="00CC3741"/>
    <w:rsid w:val="00CC3AEB"/>
    <w:rsid w:val="00CC3EA4"/>
    <w:rsid w:val="00CC3FA6"/>
    <w:rsid w:val="00CC43F2"/>
    <w:rsid w:val="00CC51C3"/>
    <w:rsid w:val="00CC5E9C"/>
    <w:rsid w:val="00CC61CA"/>
    <w:rsid w:val="00CC6239"/>
    <w:rsid w:val="00CC657A"/>
    <w:rsid w:val="00CC7AF7"/>
    <w:rsid w:val="00CC7FA5"/>
    <w:rsid w:val="00CD056B"/>
    <w:rsid w:val="00CD19CC"/>
    <w:rsid w:val="00CD28D2"/>
    <w:rsid w:val="00CD28EB"/>
    <w:rsid w:val="00CD3DE6"/>
    <w:rsid w:val="00CD3EC6"/>
    <w:rsid w:val="00CD47FD"/>
    <w:rsid w:val="00CD4D05"/>
    <w:rsid w:val="00CD535B"/>
    <w:rsid w:val="00CD5CD2"/>
    <w:rsid w:val="00CD63C0"/>
    <w:rsid w:val="00CD6859"/>
    <w:rsid w:val="00CD6AFE"/>
    <w:rsid w:val="00CD7C2B"/>
    <w:rsid w:val="00CE1CFC"/>
    <w:rsid w:val="00CE4578"/>
    <w:rsid w:val="00CE466C"/>
    <w:rsid w:val="00CE587B"/>
    <w:rsid w:val="00CE64D0"/>
    <w:rsid w:val="00CE6A28"/>
    <w:rsid w:val="00CE77FD"/>
    <w:rsid w:val="00CE7B50"/>
    <w:rsid w:val="00CF043F"/>
    <w:rsid w:val="00CF05BF"/>
    <w:rsid w:val="00CF2B32"/>
    <w:rsid w:val="00CF40CE"/>
    <w:rsid w:val="00CF51E1"/>
    <w:rsid w:val="00CF5A76"/>
    <w:rsid w:val="00CF641B"/>
    <w:rsid w:val="00CF67FC"/>
    <w:rsid w:val="00CF74DA"/>
    <w:rsid w:val="00D00D5D"/>
    <w:rsid w:val="00D011F4"/>
    <w:rsid w:val="00D0262A"/>
    <w:rsid w:val="00D027D3"/>
    <w:rsid w:val="00D02BF1"/>
    <w:rsid w:val="00D02C02"/>
    <w:rsid w:val="00D03001"/>
    <w:rsid w:val="00D042AC"/>
    <w:rsid w:val="00D04348"/>
    <w:rsid w:val="00D04821"/>
    <w:rsid w:val="00D049E3"/>
    <w:rsid w:val="00D04F6F"/>
    <w:rsid w:val="00D05702"/>
    <w:rsid w:val="00D0611C"/>
    <w:rsid w:val="00D07488"/>
    <w:rsid w:val="00D075BC"/>
    <w:rsid w:val="00D07AD7"/>
    <w:rsid w:val="00D07E43"/>
    <w:rsid w:val="00D106FE"/>
    <w:rsid w:val="00D10D93"/>
    <w:rsid w:val="00D11171"/>
    <w:rsid w:val="00D13C0E"/>
    <w:rsid w:val="00D1486D"/>
    <w:rsid w:val="00D1519B"/>
    <w:rsid w:val="00D152F5"/>
    <w:rsid w:val="00D15B3A"/>
    <w:rsid w:val="00D15E7F"/>
    <w:rsid w:val="00D1602C"/>
    <w:rsid w:val="00D1693C"/>
    <w:rsid w:val="00D16C37"/>
    <w:rsid w:val="00D17DE3"/>
    <w:rsid w:val="00D202E1"/>
    <w:rsid w:val="00D20BC6"/>
    <w:rsid w:val="00D210F7"/>
    <w:rsid w:val="00D22087"/>
    <w:rsid w:val="00D235D8"/>
    <w:rsid w:val="00D24C75"/>
    <w:rsid w:val="00D25323"/>
    <w:rsid w:val="00D2700A"/>
    <w:rsid w:val="00D2720B"/>
    <w:rsid w:val="00D276BE"/>
    <w:rsid w:val="00D27C47"/>
    <w:rsid w:val="00D32011"/>
    <w:rsid w:val="00D3304E"/>
    <w:rsid w:val="00D3321C"/>
    <w:rsid w:val="00D347A1"/>
    <w:rsid w:val="00D357CB"/>
    <w:rsid w:val="00D35D73"/>
    <w:rsid w:val="00D36F49"/>
    <w:rsid w:val="00D3756F"/>
    <w:rsid w:val="00D376B9"/>
    <w:rsid w:val="00D37BEA"/>
    <w:rsid w:val="00D4028C"/>
    <w:rsid w:val="00D40EA6"/>
    <w:rsid w:val="00D41193"/>
    <w:rsid w:val="00D42836"/>
    <w:rsid w:val="00D42963"/>
    <w:rsid w:val="00D42EF2"/>
    <w:rsid w:val="00D434B2"/>
    <w:rsid w:val="00D4364D"/>
    <w:rsid w:val="00D43F98"/>
    <w:rsid w:val="00D44123"/>
    <w:rsid w:val="00D4412D"/>
    <w:rsid w:val="00D44A33"/>
    <w:rsid w:val="00D4558A"/>
    <w:rsid w:val="00D45B93"/>
    <w:rsid w:val="00D4617F"/>
    <w:rsid w:val="00D46A54"/>
    <w:rsid w:val="00D50FCB"/>
    <w:rsid w:val="00D51BA1"/>
    <w:rsid w:val="00D51D36"/>
    <w:rsid w:val="00D53159"/>
    <w:rsid w:val="00D543AF"/>
    <w:rsid w:val="00D54B24"/>
    <w:rsid w:val="00D56604"/>
    <w:rsid w:val="00D56E9E"/>
    <w:rsid w:val="00D578FE"/>
    <w:rsid w:val="00D57EA8"/>
    <w:rsid w:val="00D60587"/>
    <w:rsid w:val="00D607D3"/>
    <w:rsid w:val="00D61F6F"/>
    <w:rsid w:val="00D61FBE"/>
    <w:rsid w:val="00D62873"/>
    <w:rsid w:val="00D62B13"/>
    <w:rsid w:val="00D63C23"/>
    <w:rsid w:val="00D63E7B"/>
    <w:rsid w:val="00D63EDE"/>
    <w:rsid w:val="00D658CA"/>
    <w:rsid w:val="00D6761B"/>
    <w:rsid w:val="00D70872"/>
    <w:rsid w:val="00D70E2E"/>
    <w:rsid w:val="00D70F57"/>
    <w:rsid w:val="00D71474"/>
    <w:rsid w:val="00D72858"/>
    <w:rsid w:val="00D7298E"/>
    <w:rsid w:val="00D72D28"/>
    <w:rsid w:val="00D73138"/>
    <w:rsid w:val="00D73142"/>
    <w:rsid w:val="00D73AFA"/>
    <w:rsid w:val="00D74A1B"/>
    <w:rsid w:val="00D74B17"/>
    <w:rsid w:val="00D74FA9"/>
    <w:rsid w:val="00D77021"/>
    <w:rsid w:val="00D77E05"/>
    <w:rsid w:val="00D8094F"/>
    <w:rsid w:val="00D80969"/>
    <w:rsid w:val="00D80E34"/>
    <w:rsid w:val="00D8169B"/>
    <w:rsid w:val="00D81B07"/>
    <w:rsid w:val="00D82F12"/>
    <w:rsid w:val="00D83CEA"/>
    <w:rsid w:val="00D84CA5"/>
    <w:rsid w:val="00D859A4"/>
    <w:rsid w:val="00D859CB"/>
    <w:rsid w:val="00D87166"/>
    <w:rsid w:val="00D87414"/>
    <w:rsid w:val="00D87D5D"/>
    <w:rsid w:val="00D87EAC"/>
    <w:rsid w:val="00D915DC"/>
    <w:rsid w:val="00D91EBF"/>
    <w:rsid w:val="00D92BCE"/>
    <w:rsid w:val="00D92E36"/>
    <w:rsid w:val="00D93AFA"/>
    <w:rsid w:val="00D942E4"/>
    <w:rsid w:val="00D94F68"/>
    <w:rsid w:val="00D95BD2"/>
    <w:rsid w:val="00D95F64"/>
    <w:rsid w:val="00D96556"/>
    <w:rsid w:val="00D9747B"/>
    <w:rsid w:val="00D97524"/>
    <w:rsid w:val="00D97A04"/>
    <w:rsid w:val="00DA02C5"/>
    <w:rsid w:val="00DA0F65"/>
    <w:rsid w:val="00DA154E"/>
    <w:rsid w:val="00DA1632"/>
    <w:rsid w:val="00DA1797"/>
    <w:rsid w:val="00DA39B4"/>
    <w:rsid w:val="00DA3BF8"/>
    <w:rsid w:val="00DA435E"/>
    <w:rsid w:val="00DA447B"/>
    <w:rsid w:val="00DA4555"/>
    <w:rsid w:val="00DA4D88"/>
    <w:rsid w:val="00DA562F"/>
    <w:rsid w:val="00DA5A1B"/>
    <w:rsid w:val="00DB0DB4"/>
    <w:rsid w:val="00DB181E"/>
    <w:rsid w:val="00DB1D5D"/>
    <w:rsid w:val="00DB3215"/>
    <w:rsid w:val="00DB3AFD"/>
    <w:rsid w:val="00DB5B9E"/>
    <w:rsid w:val="00DB664C"/>
    <w:rsid w:val="00DB6668"/>
    <w:rsid w:val="00DB693B"/>
    <w:rsid w:val="00DB6B07"/>
    <w:rsid w:val="00DB718D"/>
    <w:rsid w:val="00DC0B6F"/>
    <w:rsid w:val="00DC1C0A"/>
    <w:rsid w:val="00DC1FFC"/>
    <w:rsid w:val="00DC2386"/>
    <w:rsid w:val="00DC3175"/>
    <w:rsid w:val="00DC359B"/>
    <w:rsid w:val="00DC35A5"/>
    <w:rsid w:val="00DC3B23"/>
    <w:rsid w:val="00DC3E40"/>
    <w:rsid w:val="00DC4A52"/>
    <w:rsid w:val="00DC4E33"/>
    <w:rsid w:val="00DC5BCE"/>
    <w:rsid w:val="00DC61A6"/>
    <w:rsid w:val="00DD09B1"/>
    <w:rsid w:val="00DD0C25"/>
    <w:rsid w:val="00DD112F"/>
    <w:rsid w:val="00DD1198"/>
    <w:rsid w:val="00DD1BB6"/>
    <w:rsid w:val="00DD3662"/>
    <w:rsid w:val="00DD4375"/>
    <w:rsid w:val="00DD552E"/>
    <w:rsid w:val="00DD66F2"/>
    <w:rsid w:val="00DD72DE"/>
    <w:rsid w:val="00DD738F"/>
    <w:rsid w:val="00DD776F"/>
    <w:rsid w:val="00DD7C5F"/>
    <w:rsid w:val="00DE03F1"/>
    <w:rsid w:val="00DE0E2F"/>
    <w:rsid w:val="00DE0FF8"/>
    <w:rsid w:val="00DE12E3"/>
    <w:rsid w:val="00DE13AE"/>
    <w:rsid w:val="00DE212A"/>
    <w:rsid w:val="00DE2F82"/>
    <w:rsid w:val="00DE44BB"/>
    <w:rsid w:val="00DE4613"/>
    <w:rsid w:val="00DE4C86"/>
    <w:rsid w:val="00DE696A"/>
    <w:rsid w:val="00DF05B5"/>
    <w:rsid w:val="00DF0CD7"/>
    <w:rsid w:val="00DF24D0"/>
    <w:rsid w:val="00DF2A7F"/>
    <w:rsid w:val="00DF3315"/>
    <w:rsid w:val="00DF34C5"/>
    <w:rsid w:val="00DF373C"/>
    <w:rsid w:val="00DF3D87"/>
    <w:rsid w:val="00DF429C"/>
    <w:rsid w:val="00DF4D77"/>
    <w:rsid w:val="00DF5233"/>
    <w:rsid w:val="00DF5674"/>
    <w:rsid w:val="00DF5B22"/>
    <w:rsid w:val="00DF6481"/>
    <w:rsid w:val="00E0051C"/>
    <w:rsid w:val="00E0174C"/>
    <w:rsid w:val="00E017DE"/>
    <w:rsid w:val="00E02B5F"/>
    <w:rsid w:val="00E03603"/>
    <w:rsid w:val="00E03661"/>
    <w:rsid w:val="00E03B65"/>
    <w:rsid w:val="00E041A1"/>
    <w:rsid w:val="00E041EF"/>
    <w:rsid w:val="00E04718"/>
    <w:rsid w:val="00E056E1"/>
    <w:rsid w:val="00E0759E"/>
    <w:rsid w:val="00E07AA3"/>
    <w:rsid w:val="00E10174"/>
    <w:rsid w:val="00E11026"/>
    <w:rsid w:val="00E11259"/>
    <w:rsid w:val="00E11AA5"/>
    <w:rsid w:val="00E11ECF"/>
    <w:rsid w:val="00E12001"/>
    <w:rsid w:val="00E131D9"/>
    <w:rsid w:val="00E14897"/>
    <w:rsid w:val="00E1607C"/>
    <w:rsid w:val="00E1651D"/>
    <w:rsid w:val="00E16D12"/>
    <w:rsid w:val="00E17090"/>
    <w:rsid w:val="00E173C7"/>
    <w:rsid w:val="00E200EA"/>
    <w:rsid w:val="00E20D0C"/>
    <w:rsid w:val="00E211B4"/>
    <w:rsid w:val="00E22261"/>
    <w:rsid w:val="00E22D23"/>
    <w:rsid w:val="00E22E9E"/>
    <w:rsid w:val="00E2314D"/>
    <w:rsid w:val="00E2316C"/>
    <w:rsid w:val="00E254E2"/>
    <w:rsid w:val="00E27279"/>
    <w:rsid w:val="00E305FB"/>
    <w:rsid w:val="00E329C2"/>
    <w:rsid w:val="00E32BC1"/>
    <w:rsid w:val="00E33A7A"/>
    <w:rsid w:val="00E37468"/>
    <w:rsid w:val="00E40FB6"/>
    <w:rsid w:val="00E413D1"/>
    <w:rsid w:val="00E426C7"/>
    <w:rsid w:val="00E44952"/>
    <w:rsid w:val="00E45A90"/>
    <w:rsid w:val="00E45AD4"/>
    <w:rsid w:val="00E46C8D"/>
    <w:rsid w:val="00E50588"/>
    <w:rsid w:val="00E50EE2"/>
    <w:rsid w:val="00E50FB8"/>
    <w:rsid w:val="00E51FF5"/>
    <w:rsid w:val="00E52620"/>
    <w:rsid w:val="00E5452D"/>
    <w:rsid w:val="00E54E01"/>
    <w:rsid w:val="00E5549E"/>
    <w:rsid w:val="00E55B59"/>
    <w:rsid w:val="00E566AF"/>
    <w:rsid w:val="00E569D4"/>
    <w:rsid w:val="00E57858"/>
    <w:rsid w:val="00E57F4D"/>
    <w:rsid w:val="00E57F65"/>
    <w:rsid w:val="00E60497"/>
    <w:rsid w:val="00E61DF4"/>
    <w:rsid w:val="00E62A08"/>
    <w:rsid w:val="00E633C5"/>
    <w:rsid w:val="00E63E84"/>
    <w:rsid w:val="00E63F33"/>
    <w:rsid w:val="00E64AF1"/>
    <w:rsid w:val="00E64FDB"/>
    <w:rsid w:val="00E65565"/>
    <w:rsid w:val="00E66C04"/>
    <w:rsid w:val="00E674ED"/>
    <w:rsid w:val="00E67AA6"/>
    <w:rsid w:val="00E67AFB"/>
    <w:rsid w:val="00E67FC0"/>
    <w:rsid w:val="00E70479"/>
    <w:rsid w:val="00E70F36"/>
    <w:rsid w:val="00E7110E"/>
    <w:rsid w:val="00E7151F"/>
    <w:rsid w:val="00E7157A"/>
    <w:rsid w:val="00E71A4F"/>
    <w:rsid w:val="00E721DD"/>
    <w:rsid w:val="00E7258E"/>
    <w:rsid w:val="00E72A71"/>
    <w:rsid w:val="00E73A27"/>
    <w:rsid w:val="00E74D0E"/>
    <w:rsid w:val="00E75B47"/>
    <w:rsid w:val="00E75FC2"/>
    <w:rsid w:val="00E7649A"/>
    <w:rsid w:val="00E81C78"/>
    <w:rsid w:val="00E826B4"/>
    <w:rsid w:val="00E85713"/>
    <w:rsid w:val="00E8580B"/>
    <w:rsid w:val="00E8686E"/>
    <w:rsid w:val="00E872AA"/>
    <w:rsid w:val="00E87656"/>
    <w:rsid w:val="00E87B7D"/>
    <w:rsid w:val="00E87D1E"/>
    <w:rsid w:val="00E9003B"/>
    <w:rsid w:val="00E907F4"/>
    <w:rsid w:val="00E90E5C"/>
    <w:rsid w:val="00E90F0E"/>
    <w:rsid w:val="00E92E94"/>
    <w:rsid w:val="00E93BD4"/>
    <w:rsid w:val="00E94461"/>
    <w:rsid w:val="00E9496A"/>
    <w:rsid w:val="00E95260"/>
    <w:rsid w:val="00E95371"/>
    <w:rsid w:val="00E9599A"/>
    <w:rsid w:val="00E9605B"/>
    <w:rsid w:val="00E964B6"/>
    <w:rsid w:val="00E96724"/>
    <w:rsid w:val="00E96B7E"/>
    <w:rsid w:val="00E96E45"/>
    <w:rsid w:val="00E97ABF"/>
    <w:rsid w:val="00E97EFF"/>
    <w:rsid w:val="00EA01A8"/>
    <w:rsid w:val="00EA0750"/>
    <w:rsid w:val="00EA1AF3"/>
    <w:rsid w:val="00EA2E82"/>
    <w:rsid w:val="00EA37DD"/>
    <w:rsid w:val="00EA550F"/>
    <w:rsid w:val="00EA629B"/>
    <w:rsid w:val="00EA6EA7"/>
    <w:rsid w:val="00EA7455"/>
    <w:rsid w:val="00EA7922"/>
    <w:rsid w:val="00EA7F41"/>
    <w:rsid w:val="00EB0164"/>
    <w:rsid w:val="00EB076E"/>
    <w:rsid w:val="00EB0BD6"/>
    <w:rsid w:val="00EB1F26"/>
    <w:rsid w:val="00EB21BB"/>
    <w:rsid w:val="00EB228B"/>
    <w:rsid w:val="00EB2575"/>
    <w:rsid w:val="00EB26B2"/>
    <w:rsid w:val="00EB3425"/>
    <w:rsid w:val="00EB36F0"/>
    <w:rsid w:val="00EB4B4C"/>
    <w:rsid w:val="00EB73C7"/>
    <w:rsid w:val="00EB7756"/>
    <w:rsid w:val="00EB7902"/>
    <w:rsid w:val="00EB79CE"/>
    <w:rsid w:val="00EB7EBD"/>
    <w:rsid w:val="00EC009C"/>
    <w:rsid w:val="00EC01D2"/>
    <w:rsid w:val="00EC1004"/>
    <w:rsid w:val="00EC132D"/>
    <w:rsid w:val="00EC1951"/>
    <w:rsid w:val="00EC1AEE"/>
    <w:rsid w:val="00EC2C3D"/>
    <w:rsid w:val="00EC309F"/>
    <w:rsid w:val="00EC3B7A"/>
    <w:rsid w:val="00EC3CAB"/>
    <w:rsid w:val="00EC467C"/>
    <w:rsid w:val="00EC592E"/>
    <w:rsid w:val="00EC69CF"/>
    <w:rsid w:val="00EC7AFC"/>
    <w:rsid w:val="00EC7FD4"/>
    <w:rsid w:val="00ED07DA"/>
    <w:rsid w:val="00ED083C"/>
    <w:rsid w:val="00ED172A"/>
    <w:rsid w:val="00ED22E6"/>
    <w:rsid w:val="00ED2567"/>
    <w:rsid w:val="00ED328E"/>
    <w:rsid w:val="00ED3832"/>
    <w:rsid w:val="00ED4437"/>
    <w:rsid w:val="00ED44C6"/>
    <w:rsid w:val="00ED585A"/>
    <w:rsid w:val="00ED616D"/>
    <w:rsid w:val="00ED646D"/>
    <w:rsid w:val="00ED70A0"/>
    <w:rsid w:val="00ED7E6D"/>
    <w:rsid w:val="00EE0CEF"/>
    <w:rsid w:val="00EE19A4"/>
    <w:rsid w:val="00EE1D4B"/>
    <w:rsid w:val="00EE210D"/>
    <w:rsid w:val="00EE21D1"/>
    <w:rsid w:val="00EE2BD9"/>
    <w:rsid w:val="00EE4FCB"/>
    <w:rsid w:val="00EE56F4"/>
    <w:rsid w:val="00EE7114"/>
    <w:rsid w:val="00EE7963"/>
    <w:rsid w:val="00EF0B2C"/>
    <w:rsid w:val="00EF1613"/>
    <w:rsid w:val="00EF1DF3"/>
    <w:rsid w:val="00EF208A"/>
    <w:rsid w:val="00EF2676"/>
    <w:rsid w:val="00EF2D00"/>
    <w:rsid w:val="00EF32AD"/>
    <w:rsid w:val="00EF3381"/>
    <w:rsid w:val="00EF3A8E"/>
    <w:rsid w:val="00EF413B"/>
    <w:rsid w:val="00EF44AC"/>
    <w:rsid w:val="00EF5421"/>
    <w:rsid w:val="00EF60FD"/>
    <w:rsid w:val="00EF6D2F"/>
    <w:rsid w:val="00F027AF"/>
    <w:rsid w:val="00F034F8"/>
    <w:rsid w:val="00F039D7"/>
    <w:rsid w:val="00F04214"/>
    <w:rsid w:val="00F04960"/>
    <w:rsid w:val="00F05402"/>
    <w:rsid w:val="00F065C6"/>
    <w:rsid w:val="00F070C5"/>
    <w:rsid w:val="00F07579"/>
    <w:rsid w:val="00F10ABE"/>
    <w:rsid w:val="00F11384"/>
    <w:rsid w:val="00F12D82"/>
    <w:rsid w:val="00F139FE"/>
    <w:rsid w:val="00F1508A"/>
    <w:rsid w:val="00F1510C"/>
    <w:rsid w:val="00F1528E"/>
    <w:rsid w:val="00F15984"/>
    <w:rsid w:val="00F15DE6"/>
    <w:rsid w:val="00F170F9"/>
    <w:rsid w:val="00F17409"/>
    <w:rsid w:val="00F21607"/>
    <w:rsid w:val="00F21E2A"/>
    <w:rsid w:val="00F22213"/>
    <w:rsid w:val="00F23DDB"/>
    <w:rsid w:val="00F24189"/>
    <w:rsid w:val="00F24904"/>
    <w:rsid w:val="00F253B5"/>
    <w:rsid w:val="00F2574D"/>
    <w:rsid w:val="00F2590D"/>
    <w:rsid w:val="00F25B08"/>
    <w:rsid w:val="00F27F59"/>
    <w:rsid w:val="00F307EA"/>
    <w:rsid w:val="00F30948"/>
    <w:rsid w:val="00F309EB"/>
    <w:rsid w:val="00F30FB3"/>
    <w:rsid w:val="00F31168"/>
    <w:rsid w:val="00F31E79"/>
    <w:rsid w:val="00F343BA"/>
    <w:rsid w:val="00F346A3"/>
    <w:rsid w:val="00F35D04"/>
    <w:rsid w:val="00F36216"/>
    <w:rsid w:val="00F36251"/>
    <w:rsid w:val="00F368F2"/>
    <w:rsid w:val="00F37022"/>
    <w:rsid w:val="00F41B6E"/>
    <w:rsid w:val="00F42F93"/>
    <w:rsid w:val="00F439B4"/>
    <w:rsid w:val="00F441DA"/>
    <w:rsid w:val="00F4472F"/>
    <w:rsid w:val="00F449A5"/>
    <w:rsid w:val="00F4573E"/>
    <w:rsid w:val="00F46738"/>
    <w:rsid w:val="00F46EA5"/>
    <w:rsid w:val="00F46F11"/>
    <w:rsid w:val="00F47D19"/>
    <w:rsid w:val="00F50282"/>
    <w:rsid w:val="00F5184B"/>
    <w:rsid w:val="00F5185F"/>
    <w:rsid w:val="00F5382C"/>
    <w:rsid w:val="00F54013"/>
    <w:rsid w:val="00F54B38"/>
    <w:rsid w:val="00F55785"/>
    <w:rsid w:val="00F55E54"/>
    <w:rsid w:val="00F55FD7"/>
    <w:rsid w:val="00F56694"/>
    <w:rsid w:val="00F56B8A"/>
    <w:rsid w:val="00F62567"/>
    <w:rsid w:val="00F62B13"/>
    <w:rsid w:val="00F63683"/>
    <w:rsid w:val="00F63968"/>
    <w:rsid w:val="00F63D1B"/>
    <w:rsid w:val="00F64615"/>
    <w:rsid w:val="00F64A9D"/>
    <w:rsid w:val="00F65B91"/>
    <w:rsid w:val="00F66474"/>
    <w:rsid w:val="00F67312"/>
    <w:rsid w:val="00F6750D"/>
    <w:rsid w:val="00F703C1"/>
    <w:rsid w:val="00F70630"/>
    <w:rsid w:val="00F7090E"/>
    <w:rsid w:val="00F71308"/>
    <w:rsid w:val="00F71885"/>
    <w:rsid w:val="00F72A6A"/>
    <w:rsid w:val="00F73A86"/>
    <w:rsid w:val="00F73BBE"/>
    <w:rsid w:val="00F73D59"/>
    <w:rsid w:val="00F73DAC"/>
    <w:rsid w:val="00F73EE5"/>
    <w:rsid w:val="00F74A84"/>
    <w:rsid w:val="00F75251"/>
    <w:rsid w:val="00F752B4"/>
    <w:rsid w:val="00F7620F"/>
    <w:rsid w:val="00F76330"/>
    <w:rsid w:val="00F76554"/>
    <w:rsid w:val="00F76E20"/>
    <w:rsid w:val="00F81B18"/>
    <w:rsid w:val="00F81D4C"/>
    <w:rsid w:val="00F81EF5"/>
    <w:rsid w:val="00F829D0"/>
    <w:rsid w:val="00F831BE"/>
    <w:rsid w:val="00F83B34"/>
    <w:rsid w:val="00F85FC8"/>
    <w:rsid w:val="00F86650"/>
    <w:rsid w:val="00F8671F"/>
    <w:rsid w:val="00F87056"/>
    <w:rsid w:val="00F910EA"/>
    <w:rsid w:val="00F912E5"/>
    <w:rsid w:val="00F91ACE"/>
    <w:rsid w:val="00F91B13"/>
    <w:rsid w:val="00F91D28"/>
    <w:rsid w:val="00F92B62"/>
    <w:rsid w:val="00F92BF3"/>
    <w:rsid w:val="00F94219"/>
    <w:rsid w:val="00F94534"/>
    <w:rsid w:val="00F94EA4"/>
    <w:rsid w:val="00F94FA4"/>
    <w:rsid w:val="00F9547E"/>
    <w:rsid w:val="00F95841"/>
    <w:rsid w:val="00F95F24"/>
    <w:rsid w:val="00F96052"/>
    <w:rsid w:val="00F965B7"/>
    <w:rsid w:val="00F97782"/>
    <w:rsid w:val="00FA105E"/>
    <w:rsid w:val="00FA116E"/>
    <w:rsid w:val="00FA12D9"/>
    <w:rsid w:val="00FA135F"/>
    <w:rsid w:val="00FA145C"/>
    <w:rsid w:val="00FA1607"/>
    <w:rsid w:val="00FA2093"/>
    <w:rsid w:val="00FA2502"/>
    <w:rsid w:val="00FA3048"/>
    <w:rsid w:val="00FA34B8"/>
    <w:rsid w:val="00FA3695"/>
    <w:rsid w:val="00FA38E8"/>
    <w:rsid w:val="00FA4787"/>
    <w:rsid w:val="00FA4BDB"/>
    <w:rsid w:val="00FA4F43"/>
    <w:rsid w:val="00FA602F"/>
    <w:rsid w:val="00FA6052"/>
    <w:rsid w:val="00FA61A2"/>
    <w:rsid w:val="00FA6E11"/>
    <w:rsid w:val="00FA7FF5"/>
    <w:rsid w:val="00FB0987"/>
    <w:rsid w:val="00FB1A03"/>
    <w:rsid w:val="00FB257F"/>
    <w:rsid w:val="00FB386D"/>
    <w:rsid w:val="00FB47E2"/>
    <w:rsid w:val="00FB4C29"/>
    <w:rsid w:val="00FB54C5"/>
    <w:rsid w:val="00FB5D55"/>
    <w:rsid w:val="00FB6C01"/>
    <w:rsid w:val="00FB72B8"/>
    <w:rsid w:val="00FB7E74"/>
    <w:rsid w:val="00FC260B"/>
    <w:rsid w:val="00FC321D"/>
    <w:rsid w:val="00FC35EA"/>
    <w:rsid w:val="00FC3DF5"/>
    <w:rsid w:val="00FC4E91"/>
    <w:rsid w:val="00FC5C67"/>
    <w:rsid w:val="00FC6034"/>
    <w:rsid w:val="00FC6211"/>
    <w:rsid w:val="00FC640C"/>
    <w:rsid w:val="00FC6E26"/>
    <w:rsid w:val="00FC714C"/>
    <w:rsid w:val="00FD07D2"/>
    <w:rsid w:val="00FD09AC"/>
    <w:rsid w:val="00FD17CC"/>
    <w:rsid w:val="00FD1A6C"/>
    <w:rsid w:val="00FD43AE"/>
    <w:rsid w:val="00FD497A"/>
    <w:rsid w:val="00FD6B4E"/>
    <w:rsid w:val="00FD76A2"/>
    <w:rsid w:val="00FE06A6"/>
    <w:rsid w:val="00FE1B7C"/>
    <w:rsid w:val="00FE1D50"/>
    <w:rsid w:val="00FE1ECF"/>
    <w:rsid w:val="00FE2A89"/>
    <w:rsid w:val="00FE2D59"/>
    <w:rsid w:val="00FE3550"/>
    <w:rsid w:val="00FE3E59"/>
    <w:rsid w:val="00FE41EA"/>
    <w:rsid w:val="00FE42A4"/>
    <w:rsid w:val="00FE514D"/>
    <w:rsid w:val="00FE5573"/>
    <w:rsid w:val="00FE5818"/>
    <w:rsid w:val="00FE5A99"/>
    <w:rsid w:val="00FE5A9B"/>
    <w:rsid w:val="00FE6881"/>
    <w:rsid w:val="00FE6F20"/>
    <w:rsid w:val="00FE74DA"/>
    <w:rsid w:val="00FE7B0B"/>
    <w:rsid w:val="00FF1DA8"/>
    <w:rsid w:val="00FF2147"/>
    <w:rsid w:val="00FF2E44"/>
    <w:rsid w:val="00FF367E"/>
    <w:rsid w:val="00FF3B8E"/>
    <w:rsid w:val="00FF4127"/>
    <w:rsid w:val="00FF43F2"/>
    <w:rsid w:val="00FF4D35"/>
    <w:rsid w:val="00FF53B4"/>
    <w:rsid w:val="00FF572C"/>
    <w:rsid w:val="00FF6239"/>
    <w:rsid w:val="00FF6EA7"/>
    <w:rsid w:val="00FF7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A0E7403-FF68-4A3A-BE98-FC39017E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E6354"/>
    <w:rPr>
      <w:sz w:val="24"/>
      <w:szCs w:val="24"/>
    </w:rPr>
  </w:style>
  <w:style w:type="paragraph" w:styleId="berschrift2">
    <w:name w:val="heading 2"/>
    <w:basedOn w:val="Standard"/>
    <w:next w:val="Standard"/>
    <w:link w:val="berschrift2Zchn"/>
    <w:semiHidden/>
    <w:unhideWhenUsed/>
    <w:qFormat/>
    <w:rsid w:val="0047731E"/>
    <w:pPr>
      <w:keepNext/>
      <w:outlineLvl w:val="1"/>
    </w:pPr>
    <w:rPr>
      <w:rFonts w:ascii="Arial" w:hAnsi="Arial"/>
      <w:b/>
      <w:sz w:val="22"/>
      <w:szCs w:val="20"/>
    </w:rPr>
  </w:style>
  <w:style w:type="character" w:default="1" w:styleId="Absatz-Standardschriftart">
    <w:name w:val="Default Paragraph Font"/>
    <w:link w:val="CharZchnZchnCharZchnZchn"/>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1A3735"/>
    <w:pPr>
      <w:tabs>
        <w:tab w:val="center" w:pos="4536"/>
        <w:tab w:val="right" w:pos="9072"/>
      </w:tabs>
    </w:pPr>
  </w:style>
  <w:style w:type="character" w:styleId="Seitenzahl">
    <w:name w:val="page number"/>
    <w:basedOn w:val="Absatz-Standardschriftart"/>
    <w:rsid w:val="001A3735"/>
  </w:style>
  <w:style w:type="paragraph" w:customStyle="1" w:styleId="A1-Einrckung">
    <w:name w:val="A1-Einrückung"/>
    <w:basedOn w:val="ASStandard-Absatz"/>
    <w:rsid w:val="000F0409"/>
    <w:pPr>
      <w:tabs>
        <w:tab w:val="left" w:pos="709"/>
        <w:tab w:val="right" w:pos="9072"/>
      </w:tabs>
      <w:ind w:left="709" w:hanging="709"/>
    </w:pPr>
  </w:style>
  <w:style w:type="paragraph" w:customStyle="1" w:styleId="A2-Einrckung">
    <w:name w:val="A2-Einrückung"/>
    <w:basedOn w:val="A1-Einrckung"/>
    <w:rsid w:val="000F0409"/>
    <w:pPr>
      <w:tabs>
        <w:tab w:val="left" w:pos="1418"/>
        <w:tab w:val="right" w:pos="8505"/>
      </w:tabs>
      <w:ind w:left="1418"/>
    </w:pPr>
  </w:style>
  <w:style w:type="paragraph" w:customStyle="1" w:styleId="ASStandard-Absatz">
    <w:name w:val="AS Standard-Absatz"/>
    <w:basedOn w:val="Standard"/>
    <w:rsid w:val="000F0409"/>
    <w:pPr>
      <w:overflowPunct w:val="0"/>
      <w:autoSpaceDE w:val="0"/>
      <w:autoSpaceDN w:val="0"/>
      <w:adjustRightInd w:val="0"/>
      <w:spacing w:before="120" w:line="360" w:lineRule="auto"/>
      <w:textAlignment w:val="baseline"/>
    </w:pPr>
    <w:rPr>
      <w:szCs w:val="20"/>
    </w:rPr>
  </w:style>
  <w:style w:type="character" w:customStyle="1" w:styleId="Namen">
    <w:name w:val="Namen"/>
    <w:rsid w:val="000F0409"/>
    <w:rPr>
      <w:rFonts w:ascii="Times New Roman" w:hAnsi="Times New Roman"/>
      <w:i/>
    </w:rPr>
  </w:style>
  <w:style w:type="paragraph" w:customStyle="1" w:styleId="Betreff">
    <w:name w:val="Betreff"/>
    <w:basedOn w:val="ASStandard-Absatz"/>
    <w:next w:val="ASStandard-Absatz"/>
    <w:rsid w:val="000F0409"/>
    <w:pPr>
      <w:spacing w:before="240" w:after="120"/>
    </w:pPr>
    <w:rPr>
      <w:b/>
    </w:rPr>
  </w:style>
  <w:style w:type="character" w:customStyle="1" w:styleId="ASStandard-AbsatzChar">
    <w:name w:val="AS Standard-Absatz Char"/>
    <w:rsid w:val="000F0409"/>
    <w:rPr>
      <w:noProof w:val="0"/>
      <w:sz w:val="24"/>
      <w:lang w:val="de-DE"/>
    </w:rPr>
  </w:style>
  <w:style w:type="table" w:styleId="Tabellenraster">
    <w:name w:val="Table Grid"/>
    <w:basedOn w:val="NormaleTabelle"/>
    <w:uiPriority w:val="59"/>
    <w:rsid w:val="00785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4E2D37"/>
    <w:rPr>
      <w:rFonts w:ascii="Tahoma" w:hAnsi="Tahoma" w:cs="Tahoma"/>
      <w:sz w:val="16"/>
      <w:szCs w:val="16"/>
    </w:rPr>
  </w:style>
  <w:style w:type="character" w:styleId="Hyperlink">
    <w:name w:val="Hyperlink"/>
    <w:rsid w:val="00161699"/>
    <w:rPr>
      <w:color w:val="0000FF"/>
      <w:u w:val="single"/>
    </w:rPr>
  </w:style>
  <w:style w:type="paragraph" w:customStyle="1" w:styleId="CharZchnZchnCharZchnZchn">
    <w:name w:val=" Char Zchn Zchn Char Zchn Zchn"/>
    <w:basedOn w:val="Standard"/>
    <w:next w:val="Standard"/>
    <w:link w:val="Absatz-Standardschriftart"/>
    <w:rsid w:val="00B651B7"/>
    <w:pPr>
      <w:spacing w:after="160" w:line="240" w:lineRule="exact"/>
    </w:pPr>
    <w:rPr>
      <w:rFonts w:ascii="Tahoma" w:hAnsi="Tahoma"/>
      <w:szCs w:val="20"/>
      <w:lang w:val="en-US" w:eastAsia="en-US"/>
    </w:rPr>
  </w:style>
  <w:style w:type="paragraph" w:styleId="NurText">
    <w:name w:val="Plain Text"/>
    <w:basedOn w:val="Standard"/>
    <w:link w:val="NurTextZchn"/>
    <w:uiPriority w:val="99"/>
    <w:semiHidden/>
    <w:unhideWhenUsed/>
    <w:rsid w:val="00354C86"/>
    <w:rPr>
      <w:rFonts w:ascii="Calibri" w:eastAsia="Calibri" w:hAnsi="Calibri"/>
      <w:sz w:val="22"/>
      <w:szCs w:val="21"/>
      <w:lang w:eastAsia="en-US"/>
    </w:rPr>
  </w:style>
  <w:style w:type="character" w:customStyle="1" w:styleId="NurTextZchn">
    <w:name w:val="Nur Text Zchn"/>
    <w:link w:val="NurText"/>
    <w:uiPriority w:val="99"/>
    <w:semiHidden/>
    <w:rsid w:val="00354C86"/>
    <w:rPr>
      <w:rFonts w:ascii="Calibri" w:eastAsia="Calibri" w:hAnsi="Calibri"/>
      <w:sz w:val="22"/>
      <w:szCs w:val="21"/>
      <w:lang w:eastAsia="en-US"/>
    </w:rPr>
  </w:style>
  <w:style w:type="paragraph" w:styleId="StandardWeb">
    <w:name w:val="Normal (Web)"/>
    <w:basedOn w:val="Standard"/>
    <w:rsid w:val="00AE7915"/>
    <w:pPr>
      <w:spacing w:before="100" w:beforeAutospacing="1" w:after="100" w:afterAutospacing="1"/>
    </w:pPr>
  </w:style>
  <w:style w:type="character" w:styleId="Fett">
    <w:name w:val="Strong"/>
    <w:qFormat/>
    <w:rsid w:val="00AE7915"/>
    <w:rPr>
      <w:b/>
      <w:bCs/>
    </w:rPr>
  </w:style>
  <w:style w:type="paragraph" w:customStyle="1" w:styleId="Style1">
    <w:name w:val="Style 1"/>
    <w:basedOn w:val="Standard"/>
    <w:uiPriority w:val="99"/>
    <w:rsid w:val="00DF24D0"/>
    <w:pPr>
      <w:autoSpaceDE w:val="0"/>
      <w:autoSpaceDN w:val="0"/>
      <w:adjustRightInd w:val="0"/>
    </w:pPr>
    <w:rPr>
      <w:rFonts w:eastAsia="Calibri"/>
      <w:lang w:eastAsia="en-US"/>
    </w:rPr>
  </w:style>
  <w:style w:type="character" w:customStyle="1" w:styleId="size21">
    <w:name w:val="size21"/>
    <w:rsid w:val="00F71885"/>
    <w:rPr>
      <w:sz w:val="24"/>
      <w:szCs w:val="24"/>
    </w:rPr>
  </w:style>
  <w:style w:type="paragraph" w:customStyle="1" w:styleId="TabellenInhalt">
    <w:name w:val="Tabellen Inhalt"/>
    <w:basedOn w:val="Standard"/>
    <w:rsid w:val="00140AB4"/>
    <w:pPr>
      <w:widowControl w:val="0"/>
      <w:suppressLineNumbers/>
      <w:suppressAutoHyphens/>
      <w:overflowPunct w:val="0"/>
      <w:autoSpaceDE w:val="0"/>
      <w:autoSpaceDN w:val="0"/>
      <w:adjustRightInd w:val="0"/>
      <w:textAlignment w:val="baseline"/>
    </w:pPr>
    <w:rPr>
      <w:kern w:val="1"/>
      <w:szCs w:val="20"/>
    </w:rPr>
  </w:style>
  <w:style w:type="paragraph" w:customStyle="1" w:styleId="Default">
    <w:name w:val="Default"/>
    <w:rsid w:val="00C54CC5"/>
    <w:pPr>
      <w:overflowPunct w:val="0"/>
      <w:autoSpaceDE w:val="0"/>
      <w:autoSpaceDN w:val="0"/>
      <w:adjustRightInd w:val="0"/>
      <w:textAlignment w:val="baseline"/>
    </w:pPr>
    <w:rPr>
      <w:rFonts w:ascii="Arial" w:hAnsi="Arial"/>
      <w:color w:val="000000"/>
      <w:sz w:val="24"/>
    </w:rPr>
  </w:style>
  <w:style w:type="paragraph" w:styleId="Listenabsatz">
    <w:name w:val="List Paragraph"/>
    <w:basedOn w:val="Standard"/>
    <w:uiPriority w:val="34"/>
    <w:qFormat/>
    <w:rsid w:val="00F56B8A"/>
    <w:pPr>
      <w:spacing w:after="200" w:line="276" w:lineRule="auto"/>
      <w:ind w:left="720"/>
      <w:contextualSpacing/>
    </w:pPr>
    <w:rPr>
      <w:rFonts w:ascii="Calibri" w:eastAsia="Calibri" w:hAnsi="Calibri"/>
      <w:sz w:val="22"/>
      <w:szCs w:val="22"/>
      <w:lang w:eastAsia="en-US"/>
    </w:rPr>
  </w:style>
  <w:style w:type="character" w:customStyle="1" w:styleId="berschrift2Zchn">
    <w:name w:val="Überschrift 2 Zchn"/>
    <w:link w:val="berschrift2"/>
    <w:semiHidden/>
    <w:rsid w:val="0047731E"/>
    <w:rPr>
      <w:rFonts w:ascii="Arial" w:hAnsi="Arial"/>
      <w:b/>
      <w:sz w:val="22"/>
    </w:rPr>
  </w:style>
  <w:style w:type="paragraph" w:styleId="KeinLeerraum">
    <w:name w:val="No Spacing"/>
    <w:uiPriority w:val="1"/>
    <w:qFormat/>
    <w:rsid w:val="0067189D"/>
    <w:rPr>
      <w:rFonts w:ascii="Calibri" w:eastAsia="Calibri" w:hAnsi="Calibri"/>
      <w:sz w:val="22"/>
      <w:szCs w:val="22"/>
      <w:lang w:eastAsia="en-US"/>
    </w:rPr>
  </w:style>
  <w:style w:type="paragraph" w:customStyle="1" w:styleId="idvdokumenttitel">
    <w:name w:val="idvdokumenttitel"/>
    <w:basedOn w:val="Standard"/>
    <w:rsid w:val="004E2FCA"/>
    <w:pPr>
      <w:spacing w:before="75" w:after="225"/>
    </w:pPr>
    <w:rPr>
      <w:b/>
      <w:bCs/>
      <w:sz w:val="27"/>
      <w:szCs w:val="27"/>
    </w:rPr>
  </w:style>
  <w:style w:type="paragraph" w:customStyle="1" w:styleId="idvdokumentleitsatz">
    <w:name w:val="idvdokumentleitsatz"/>
    <w:basedOn w:val="Standard"/>
    <w:rsid w:val="004E2FCA"/>
    <w:pPr>
      <w:spacing w:after="225"/>
    </w:pPr>
    <w:rPr>
      <w:b/>
      <w:bCs/>
    </w:rPr>
  </w:style>
  <w:style w:type="paragraph" w:customStyle="1" w:styleId="idvdokumenturteilszeile">
    <w:name w:val="idvdokumenturteilszeile"/>
    <w:basedOn w:val="Standard"/>
    <w:rsid w:val="004E2FCA"/>
    <w:pPr>
      <w:spacing w:after="2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7796">
      <w:bodyDiv w:val="1"/>
      <w:marLeft w:val="0"/>
      <w:marRight w:val="0"/>
      <w:marTop w:val="0"/>
      <w:marBottom w:val="0"/>
      <w:divBdr>
        <w:top w:val="none" w:sz="0" w:space="0" w:color="auto"/>
        <w:left w:val="none" w:sz="0" w:space="0" w:color="auto"/>
        <w:bottom w:val="none" w:sz="0" w:space="0" w:color="auto"/>
        <w:right w:val="none" w:sz="0" w:space="0" w:color="auto"/>
      </w:divBdr>
    </w:div>
    <w:div w:id="435373303">
      <w:bodyDiv w:val="1"/>
      <w:marLeft w:val="0"/>
      <w:marRight w:val="0"/>
      <w:marTop w:val="0"/>
      <w:marBottom w:val="0"/>
      <w:divBdr>
        <w:top w:val="none" w:sz="0" w:space="0" w:color="auto"/>
        <w:left w:val="none" w:sz="0" w:space="0" w:color="auto"/>
        <w:bottom w:val="none" w:sz="0" w:space="0" w:color="auto"/>
        <w:right w:val="none" w:sz="0" w:space="0" w:color="auto"/>
      </w:divBdr>
      <w:divsChild>
        <w:div w:id="55781152">
          <w:marLeft w:val="0"/>
          <w:marRight w:val="0"/>
          <w:marTop w:val="0"/>
          <w:marBottom w:val="0"/>
          <w:divBdr>
            <w:top w:val="none" w:sz="0" w:space="0" w:color="auto"/>
            <w:left w:val="none" w:sz="0" w:space="0" w:color="auto"/>
            <w:bottom w:val="none" w:sz="0" w:space="0" w:color="auto"/>
            <w:right w:val="none" w:sz="0" w:space="0" w:color="auto"/>
          </w:divBdr>
          <w:divsChild>
            <w:div w:id="1952932871">
              <w:marLeft w:val="0"/>
              <w:marRight w:val="0"/>
              <w:marTop w:val="0"/>
              <w:marBottom w:val="0"/>
              <w:divBdr>
                <w:top w:val="none" w:sz="0" w:space="0" w:color="auto"/>
                <w:left w:val="none" w:sz="0" w:space="0" w:color="auto"/>
                <w:bottom w:val="none" w:sz="0" w:space="0" w:color="auto"/>
                <w:right w:val="none" w:sz="0" w:space="0" w:color="auto"/>
              </w:divBdr>
            </w:div>
            <w:div w:id="2036806366">
              <w:marLeft w:val="0"/>
              <w:marRight w:val="0"/>
              <w:marTop w:val="0"/>
              <w:marBottom w:val="0"/>
              <w:divBdr>
                <w:top w:val="none" w:sz="0" w:space="0" w:color="auto"/>
                <w:left w:val="none" w:sz="0" w:space="0" w:color="auto"/>
                <w:bottom w:val="none" w:sz="0" w:space="0" w:color="auto"/>
                <w:right w:val="none" w:sz="0" w:space="0" w:color="auto"/>
              </w:divBdr>
            </w:div>
          </w:divsChild>
        </w:div>
        <w:div w:id="882256175">
          <w:marLeft w:val="0"/>
          <w:marRight w:val="0"/>
          <w:marTop w:val="0"/>
          <w:marBottom w:val="0"/>
          <w:divBdr>
            <w:top w:val="none" w:sz="0" w:space="0" w:color="auto"/>
            <w:left w:val="none" w:sz="0" w:space="0" w:color="auto"/>
            <w:bottom w:val="none" w:sz="0" w:space="0" w:color="auto"/>
            <w:right w:val="none" w:sz="0" w:space="0" w:color="auto"/>
          </w:divBdr>
        </w:div>
        <w:div w:id="1039938413">
          <w:marLeft w:val="0"/>
          <w:marRight w:val="0"/>
          <w:marTop w:val="0"/>
          <w:marBottom w:val="0"/>
          <w:divBdr>
            <w:top w:val="none" w:sz="0" w:space="0" w:color="auto"/>
            <w:left w:val="none" w:sz="0" w:space="0" w:color="auto"/>
            <w:bottom w:val="none" w:sz="0" w:space="0" w:color="auto"/>
            <w:right w:val="none" w:sz="0" w:space="0" w:color="auto"/>
          </w:divBdr>
        </w:div>
        <w:div w:id="1065031060">
          <w:marLeft w:val="0"/>
          <w:marRight w:val="0"/>
          <w:marTop w:val="0"/>
          <w:marBottom w:val="0"/>
          <w:divBdr>
            <w:top w:val="none" w:sz="0" w:space="0" w:color="auto"/>
            <w:left w:val="none" w:sz="0" w:space="0" w:color="auto"/>
            <w:bottom w:val="none" w:sz="0" w:space="0" w:color="auto"/>
            <w:right w:val="none" w:sz="0" w:space="0" w:color="auto"/>
          </w:divBdr>
        </w:div>
        <w:div w:id="1355037067">
          <w:marLeft w:val="0"/>
          <w:marRight w:val="0"/>
          <w:marTop w:val="0"/>
          <w:marBottom w:val="0"/>
          <w:divBdr>
            <w:top w:val="none" w:sz="0" w:space="0" w:color="auto"/>
            <w:left w:val="none" w:sz="0" w:space="0" w:color="auto"/>
            <w:bottom w:val="none" w:sz="0" w:space="0" w:color="auto"/>
            <w:right w:val="none" w:sz="0" w:space="0" w:color="auto"/>
          </w:divBdr>
        </w:div>
        <w:div w:id="1829402787">
          <w:marLeft w:val="0"/>
          <w:marRight w:val="0"/>
          <w:marTop w:val="0"/>
          <w:marBottom w:val="0"/>
          <w:divBdr>
            <w:top w:val="none" w:sz="0" w:space="0" w:color="auto"/>
            <w:left w:val="none" w:sz="0" w:space="0" w:color="auto"/>
            <w:bottom w:val="none" w:sz="0" w:space="0" w:color="auto"/>
            <w:right w:val="none" w:sz="0" w:space="0" w:color="auto"/>
          </w:divBdr>
        </w:div>
      </w:divsChild>
    </w:div>
    <w:div w:id="476845012">
      <w:bodyDiv w:val="1"/>
      <w:marLeft w:val="0"/>
      <w:marRight w:val="0"/>
      <w:marTop w:val="0"/>
      <w:marBottom w:val="0"/>
      <w:divBdr>
        <w:top w:val="none" w:sz="0" w:space="0" w:color="auto"/>
        <w:left w:val="none" w:sz="0" w:space="0" w:color="auto"/>
        <w:bottom w:val="none" w:sz="0" w:space="0" w:color="auto"/>
        <w:right w:val="none" w:sz="0" w:space="0" w:color="auto"/>
      </w:divBdr>
    </w:div>
    <w:div w:id="583413141">
      <w:bodyDiv w:val="1"/>
      <w:marLeft w:val="0"/>
      <w:marRight w:val="0"/>
      <w:marTop w:val="0"/>
      <w:marBottom w:val="0"/>
      <w:divBdr>
        <w:top w:val="none" w:sz="0" w:space="0" w:color="auto"/>
        <w:left w:val="none" w:sz="0" w:space="0" w:color="auto"/>
        <w:bottom w:val="none" w:sz="0" w:space="0" w:color="auto"/>
        <w:right w:val="none" w:sz="0" w:space="0" w:color="auto"/>
      </w:divBdr>
      <w:divsChild>
        <w:div w:id="1693535295">
          <w:marLeft w:val="0"/>
          <w:marRight w:val="0"/>
          <w:marTop w:val="0"/>
          <w:marBottom w:val="0"/>
          <w:divBdr>
            <w:top w:val="none" w:sz="0" w:space="0" w:color="auto"/>
            <w:left w:val="none" w:sz="0" w:space="0" w:color="auto"/>
            <w:bottom w:val="none" w:sz="0" w:space="0" w:color="auto"/>
            <w:right w:val="none" w:sz="0" w:space="0" w:color="auto"/>
          </w:divBdr>
          <w:divsChild>
            <w:div w:id="326323888">
              <w:marLeft w:val="0"/>
              <w:marRight w:val="0"/>
              <w:marTop w:val="0"/>
              <w:marBottom w:val="0"/>
              <w:divBdr>
                <w:top w:val="none" w:sz="0" w:space="0" w:color="auto"/>
                <w:left w:val="none" w:sz="0" w:space="0" w:color="auto"/>
                <w:bottom w:val="none" w:sz="0" w:space="0" w:color="auto"/>
                <w:right w:val="none" w:sz="0" w:space="0" w:color="auto"/>
              </w:divBdr>
              <w:divsChild>
                <w:div w:id="1403454094">
                  <w:marLeft w:val="0"/>
                  <w:marRight w:val="0"/>
                  <w:marTop w:val="0"/>
                  <w:marBottom w:val="0"/>
                  <w:divBdr>
                    <w:top w:val="none" w:sz="0" w:space="0" w:color="auto"/>
                    <w:left w:val="none" w:sz="0" w:space="0" w:color="auto"/>
                    <w:bottom w:val="none" w:sz="0" w:space="0" w:color="auto"/>
                    <w:right w:val="none" w:sz="0" w:space="0" w:color="auto"/>
                  </w:divBdr>
                  <w:divsChild>
                    <w:div w:id="494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957712">
      <w:bodyDiv w:val="1"/>
      <w:marLeft w:val="0"/>
      <w:marRight w:val="0"/>
      <w:marTop w:val="0"/>
      <w:marBottom w:val="0"/>
      <w:divBdr>
        <w:top w:val="none" w:sz="0" w:space="0" w:color="auto"/>
        <w:left w:val="none" w:sz="0" w:space="0" w:color="auto"/>
        <w:bottom w:val="none" w:sz="0" w:space="0" w:color="auto"/>
        <w:right w:val="none" w:sz="0" w:space="0" w:color="auto"/>
      </w:divBdr>
    </w:div>
    <w:div w:id="895047911">
      <w:bodyDiv w:val="1"/>
      <w:marLeft w:val="0"/>
      <w:marRight w:val="0"/>
      <w:marTop w:val="0"/>
      <w:marBottom w:val="0"/>
      <w:divBdr>
        <w:top w:val="none" w:sz="0" w:space="0" w:color="auto"/>
        <w:left w:val="none" w:sz="0" w:space="0" w:color="auto"/>
        <w:bottom w:val="none" w:sz="0" w:space="0" w:color="auto"/>
        <w:right w:val="none" w:sz="0" w:space="0" w:color="auto"/>
      </w:divBdr>
    </w:div>
    <w:div w:id="912618147">
      <w:bodyDiv w:val="1"/>
      <w:marLeft w:val="0"/>
      <w:marRight w:val="0"/>
      <w:marTop w:val="0"/>
      <w:marBottom w:val="0"/>
      <w:divBdr>
        <w:top w:val="none" w:sz="0" w:space="0" w:color="auto"/>
        <w:left w:val="none" w:sz="0" w:space="0" w:color="auto"/>
        <w:bottom w:val="none" w:sz="0" w:space="0" w:color="auto"/>
        <w:right w:val="none" w:sz="0" w:space="0" w:color="auto"/>
      </w:divBdr>
    </w:div>
    <w:div w:id="1013604039">
      <w:bodyDiv w:val="1"/>
      <w:marLeft w:val="0"/>
      <w:marRight w:val="0"/>
      <w:marTop w:val="0"/>
      <w:marBottom w:val="0"/>
      <w:divBdr>
        <w:top w:val="none" w:sz="0" w:space="0" w:color="auto"/>
        <w:left w:val="none" w:sz="0" w:space="0" w:color="auto"/>
        <w:bottom w:val="none" w:sz="0" w:space="0" w:color="auto"/>
        <w:right w:val="none" w:sz="0" w:space="0" w:color="auto"/>
      </w:divBdr>
    </w:div>
    <w:div w:id="1101026790">
      <w:bodyDiv w:val="1"/>
      <w:marLeft w:val="0"/>
      <w:marRight w:val="0"/>
      <w:marTop w:val="0"/>
      <w:marBottom w:val="0"/>
      <w:divBdr>
        <w:top w:val="none" w:sz="0" w:space="0" w:color="auto"/>
        <w:left w:val="none" w:sz="0" w:space="0" w:color="auto"/>
        <w:bottom w:val="none" w:sz="0" w:space="0" w:color="auto"/>
        <w:right w:val="none" w:sz="0" w:space="0" w:color="auto"/>
      </w:divBdr>
    </w:div>
    <w:div w:id="1244028280">
      <w:bodyDiv w:val="1"/>
      <w:marLeft w:val="0"/>
      <w:marRight w:val="0"/>
      <w:marTop w:val="0"/>
      <w:marBottom w:val="0"/>
      <w:divBdr>
        <w:top w:val="none" w:sz="0" w:space="0" w:color="auto"/>
        <w:left w:val="none" w:sz="0" w:space="0" w:color="auto"/>
        <w:bottom w:val="none" w:sz="0" w:space="0" w:color="auto"/>
        <w:right w:val="none" w:sz="0" w:space="0" w:color="auto"/>
      </w:divBdr>
    </w:div>
    <w:div w:id="1510833666">
      <w:bodyDiv w:val="1"/>
      <w:marLeft w:val="0"/>
      <w:marRight w:val="0"/>
      <w:marTop w:val="0"/>
      <w:marBottom w:val="0"/>
      <w:divBdr>
        <w:top w:val="none" w:sz="0" w:space="0" w:color="auto"/>
        <w:left w:val="none" w:sz="0" w:space="0" w:color="auto"/>
        <w:bottom w:val="none" w:sz="0" w:space="0" w:color="auto"/>
        <w:right w:val="none" w:sz="0" w:space="0" w:color="auto"/>
      </w:divBdr>
    </w:div>
    <w:div w:id="1516768055">
      <w:bodyDiv w:val="1"/>
      <w:marLeft w:val="0"/>
      <w:marRight w:val="0"/>
      <w:marTop w:val="0"/>
      <w:marBottom w:val="0"/>
      <w:divBdr>
        <w:top w:val="none" w:sz="0" w:space="0" w:color="auto"/>
        <w:left w:val="none" w:sz="0" w:space="0" w:color="auto"/>
        <w:bottom w:val="none" w:sz="0" w:space="0" w:color="auto"/>
        <w:right w:val="none" w:sz="0" w:space="0" w:color="auto"/>
      </w:divBdr>
    </w:div>
    <w:div w:id="1536382858">
      <w:bodyDiv w:val="1"/>
      <w:marLeft w:val="0"/>
      <w:marRight w:val="0"/>
      <w:marTop w:val="0"/>
      <w:marBottom w:val="0"/>
      <w:divBdr>
        <w:top w:val="none" w:sz="0" w:space="0" w:color="auto"/>
        <w:left w:val="none" w:sz="0" w:space="0" w:color="auto"/>
        <w:bottom w:val="none" w:sz="0" w:space="0" w:color="auto"/>
        <w:right w:val="none" w:sz="0" w:space="0" w:color="auto"/>
      </w:divBdr>
    </w:div>
    <w:div w:id="1745293401">
      <w:bodyDiv w:val="1"/>
      <w:marLeft w:val="0"/>
      <w:marRight w:val="0"/>
      <w:marTop w:val="0"/>
      <w:marBottom w:val="0"/>
      <w:divBdr>
        <w:top w:val="none" w:sz="0" w:space="0" w:color="auto"/>
        <w:left w:val="none" w:sz="0" w:space="0" w:color="auto"/>
        <w:bottom w:val="none" w:sz="0" w:space="0" w:color="auto"/>
        <w:right w:val="none" w:sz="0" w:space="0" w:color="auto"/>
      </w:divBdr>
    </w:div>
    <w:div w:id="1886672558">
      <w:bodyDiv w:val="1"/>
      <w:marLeft w:val="0"/>
      <w:marRight w:val="0"/>
      <w:marTop w:val="0"/>
      <w:marBottom w:val="0"/>
      <w:divBdr>
        <w:top w:val="none" w:sz="0" w:space="0" w:color="auto"/>
        <w:left w:val="none" w:sz="0" w:space="0" w:color="auto"/>
        <w:bottom w:val="none" w:sz="0" w:space="0" w:color="auto"/>
        <w:right w:val="none" w:sz="0" w:space="0" w:color="auto"/>
      </w:divBdr>
    </w:div>
    <w:div w:id="1892770487">
      <w:bodyDiv w:val="1"/>
      <w:marLeft w:val="0"/>
      <w:marRight w:val="0"/>
      <w:marTop w:val="0"/>
      <w:marBottom w:val="0"/>
      <w:divBdr>
        <w:top w:val="none" w:sz="0" w:space="0" w:color="auto"/>
        <w:left w:val="none" w:sz="0" w:space="0" w:color="auto"/>
        <w:bottom w:val="none" w:sz="0" w:space="0" w:color="auto"/>
        <w:right w:val="none" w:sz="0" w:space="0" w:color="auto"/>
      </w:divBdr>
    </w:div>
    <w:div w:id="209855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3108</Words>
  <Characters>19150</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06</vt:lpstr>
    </vt:vector>
  </TitlesOfParts>
  <Company>Städte- und Gemeindebund SA</Company>
  <LinksUpToDate>false</LinksUpToDate>
  <CharactersWithSpaces>22214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dc:title>
  <dc:subject/>
  <dc:creator>Ritter</dc:creator>
  <cp:keywords/>
  <cp:lastModifiedBy>Andrea Pankrath</cp:lastModifiedBy>
  <cp:revision>3</cp:revision>
  <cp:lastPrinted>2019-03-07T10:24:00Z</cp:lastPrinted>
  <dcterms:created xsi:type="dcterms:W3CDTF">2021-09-21T13:30:00Z</dcterms:created>
  <dcterms:modified xsi:type="dcterms:W3CDTF">2021-09-21T14:08:00Z</dcterms:modified>
</cp:coreProperties>
</file>